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56BA5" w14:textId="77777777" w:rsidR="00FB2868" w:rsidRPr="002C702E" w:rsidRDefault="00FB2868" w:rsidP="00FB2868">
      <w:pPr>
        <w:pStyle w:val="Heading1"/>
        <w:numPr>
          <w:ilvl w:val="0"/>
          <w:numId w:val="1"/>
        </w:numPr>
        <w:rPr>
          <w:lang w:val="en-GB"/>
        </w:rPr>
      </w:pPr>
      <w:r w:rsidRPr="002C702E">
        <w:rPr>
          <w:lang w:val="en-GB"/>
        </w:rPr>
        <w:t>Step overview</w:t>
      </w:r>
    </w:p>
    <w:p w14:paraId="3C5F72EE" w14:textId="77777777" w:rsidR="00FB2868" w:rsidRPr="002C702E" w:rsidRDefault="00FB2868" w:rsidP="00FB2868">
      <w:pPr>
        <w:rPr>
          <w:lang w:val="en-GB"/>
        </w:rPr>
      </w:pPr>
    </w:p>
    <w:tbl>
      <w:tblPr>
        <w:tblStyle w:val="GridTable1Light"/>
        <w:tblW w:w="8926" w:type="dxa"/>
        <w:tblLook w:val="0400" w:firstRow="0" w:lastRow="0" w:firstColumn="0" w:lastColumn="0" w:noHBand="0" w:noVBand="1"/>
      </w:tblPr>
      <w:tblGrid>
        <w:gridCol w:w="2122"/>
        <w:gridCol w:w="6804"/>
      </w:tblGrid>
      <w:tr w:rsidR="00FB2868" w:rsidRPr="002C702E" w14:paraId="172759EA" w14:textId="77777777" w:rsidTr="0211F308">
        <w:trPr>
          <w:trHeight w:val="399"/>
        </w:trPr>
        <w:tc>
          <w:tcPr>
            <w:tcW w:w="2122" w:type="dxa"/>
            <w:shd w:val="clear" w:color="auto" w:fill="0E2841" w:themeFill="text2"/>
          </w:tcPr>
          <w:p w14:paraId="34C8F412"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1C4827B0" w14:textId="222B43A9" w:rsidR="00FB2868" w:rsidRPr="002C702E" w:rsidRDefault="008A6542">
            <w:pPr>
              <w:spacing w:before="120" w:after="120"/>
              <w:rPr>
                <w:rFonts w:ascii="Aptos" w:eastAsia="Times New Roman" w:hAnsi="Aptos" w:cs="Times New Roman"/>
                <w:color w:val="000000"/>
                <w:kern w:val="0"/>
                <w:sz w:val="20"/>
                <w:szCs w:val="20"/>
                <w:lang w:val="en-GB" w:eastAsia="en-GB"/>
                <w14:ligatures w14:val="none"/>
              </w:rPr>
            </w:pPr>
            <w:r w:rsidRPr="008A6542">
              <w:rPr>
                <w:rFonts w:ascii="Aptos" w:eastAsia="Times New Roman" w:hAnsi="Aptos" w:cs="Times New Roman"/>
                <w:b/>
                <w:bCs/>
                <w:color w:val="000000"/>
                <w:kern w:val="0"/>
                <w:sz w:val="20"/>
                <w:szCs w:val="20"/>
                <w:lang w:eastAsia="en-GB"/>
                <w14:ligatures w14:val="none"/>
              </w:rPr>
              <w:t>9.4. Security and migration</w:t>
            </w:r>
          </w:p>
        </w:tc>
      </w:tr>
      <w:tr w:rsidR="00FB2868" w:rsidRPr="002C702E" w14:paraId="16793E17" w14:textId="77777777" w:rsidTr="0211F308">
        <w:trPr>
          <w:trHeight w:val="393"/>
        </w:trPr>
        <w:tc>
          <w:tcPr>
            <w:tcW w:w="2122" w:type="dxa"/>
            <w:shd w:val="clear" w:color="auto" w:fill="0E2841" w:themeFill="text2"/>
          </w:tcPr>
          <w:p w14:paraId="5BB12AB7"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36C09DFA" w14:textId="75BD3E5A" w:rsidR="00FB2868" w:rsidRPr="002C702E" w:rsidRDefault="008A6542">
            <w:pPr>
              <w:spacing w:before="120" w:after="120"/>
              <w:rPr>
                <w:rFonts w:ascii="Aptos" w:eastAsia="Times New Roman" w:hAnsi="Aptos" w:cs="Times New Roman"/>
                <w:color w:val="000000"/>
                <w:kern w:val="0"/>
                <w:sz w:val="20"/>
                <w:szCs w:val="20"/>
                <w:lang w:val="en-GB" w:eastAsia="en-GB"/>
                <w14:ligatures w14:val="none"/>
              </w:rPr>
            </w:pPr>
            <w:r w:rsidRPr="008A6542">
              <w:rPr>
                <w:rFonts w:ascii="Aptos" w:eastAsia="Times New Roman" w:hAnsi="Aptos" w:cs="Times New Roman"/>
                <w:b/>
                <w:bCs/>
                <w:color w:val="000000"/>
                <w:kern w:val="0"/>
                <w:sz w:val="20"/>
                <w:szCs w:val="20"/>
                <w:lang w:eastAsia="en-GB"/>
                <w14:ligatures w14:val="none"/>
              </w:rPr>
              <w:t>9.4.1. Tackling of the security and migration challenges</w:t>
            </w:r>
          </w:p>
        </w:tc>
      </w:tr>
      <w:tr w:rsidR="00FB2868" w:rsidRPr="002C702E" w14:paraId="292FB949" w14:textId="77777777" w:rsidTr="0211F308">
        <w:trPr>
          <w:trHeight w:val="393"/>
        </w:trPr>
        <w:tc>
          <w:tcPr>
            <w:tcW w:w="2122" w:type="dxa"/>
            <w:shd w:val="clear" w:color="auto" w:fill="0E2841" w:themeFill="text2"/>
          </w:tcPr>
          <w:p w14:paraId="444FA9A9"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3F0CE8C7" w14:textId="77777777" w:rsidR="008A6542" w:rsidRPr="008A6542" w:rsidRDefault="008A6542" w:rsidP="008A6542">
            <w:pPr>
              <w:rPr>
                <w:rFonts w:ascii="Aptos" w:eastAsia="Times New Roman" w:hAnsi="Aptos" w:cs="Times New Roman"/>
                <w:color w:val="000000"/>
                <w:kern w:val="0"/>
                <w:sz w:val="20"/>
                <w:szCs w:val="20"/>
                <w:lang w:eastAsia="en-GB"/>
                <w14:ligatures w14:val="none"/>
              </w:rPr>
            </w:pPr>
            <w:r w:rsidRPr="008A6542">
              <w:rPr>
                <w:rFonts w:ascii="Aptos" w:eastAsia="Times New Roman" w:hAnsi="Aptos" w:cs="Times New Roman"/>
                <w:color w:val="000000"/>
                <w:kern w:val="0"/>
                <w:sz w:val="20"/>
                <w:szCs w:val="20"/>
                <w:lang w:eastAsia="en-GB"/>
                <w14:ligatures w14:val="none"/>
              </w:rPr>
              <w:t>Status of counter terrorism and all forms of radicalization and violent</w:t>
            </w:r>
          </w:p>
          <w:p w14:paraId="3F2C7FCD" w14:textId="6D4ADDE0" w:rsidR="00FB2868" w:rsidRPr="002C702E" w:rsidRDefault="008A6542" w:rsidP="008A6542">
            <w:pPr>
              <w:rPr>
                <w:rFonts w:ascii="Aptos" w:eastAsia="Times New Roman" w:hAnsi="Aptos" w:cs="Times New Roman"/>
                <w:color w:val="000000"/>
                <w:kern w:val="0"/>
                <w:sz w:val="20"/>
                <w:szCs w:val="20"/>
                <w:lang w:val="en-GB" w:eastAsia="en-GB"/>
                <w14:ligatures w14:val="none"/>
              </w:rPr>
            </w:pPr>
            <w:r w:rsidRPr="008A6542">
              <w:rPr>
                <w:rFonts w:ascii="Aptos" w:eastAsia="Times New Roman" w:hAnsi="Aptos" w:cs="Times New Roman"/>
                <w:color w:val="000000"/>
                <w:kern w:val="0"/>
                <w:sz w:val="20"/>
                <w:szCs w:val="20"/>
                <w:lang w:eastAsia="en-GB"/>
                <w14:ligatures w14:val="none"/>
              </w:rPr>
              <w:t>extremism related regulatory framework</w:t>
            </w:r>
          </w:p>
        </w:tc>
      </w:tr>
      <w:tr w:rsidR="00FB2868" w:rsidRPr="002C702E" w14:paraId="497EE0E9" w14:textId="77777777" w:rsidTr="0211F308">
        <w:trPr>
          <w:trHeight w:val="759"/>
        </w:trPr>
        <w:tc>
          <w:tcPr>
            <w:tcW w:w="2122" w:type="dxa"/>
            <w:shd w:val="clear" w:color="auto" w:fill="0E2841" w:themeFill="text2"/>
          </w:tcPr>
          <w:p w14:paraId="26E3E8E2"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 Step</w:t>
            </w:r>
          </w:p>
        </w:tc>
        <w:tc>
          <w:tcPr>
            <w:tcW w:w="6804" w:type="dxa"/>
          </w:tcPr>
          <w:p w14:paraId="1069E4E5" w14:textId="07A9D87D" w:rsidR="00FB2868" w:rsidRPr="002C702E" w:rsidRDefault="008A6542">
            <w:pPr>
              <w:spacing w:before="120" w:after="120"/>
              <w:rPr>
                <w:rFonts w:ascii="Aptos" w:eastAsia="Times New Roman" w:hAnsi="Aptos" w:cs="Times New Roman"/>
                <w:color w:val="000000"/>
                <w:kern w:val="0"/>
                <w:sz w:val="20"/>
                <w:szCs w:val="20"/>
                <w:lang w:val="en-GB" w:eastAsia="en-GB"/>
                <w14:ligatures w14:val="none"/>
              </w:rPr>
            </w:pPr>
            <w:r w:rsidRPr="008A6542">
              <w:rPr>
                <w:rFonts w:ascii="Aptos" w:eastAsia="Times New Roman" w:hAnsi="Aptos" w:cs="Times New Roman"/>
                <w:color w:val="000000"/>
                <w:kern w:val="0"/>
                <w:sz w:val="20"/>
                <w:szCs w:val="20"/>
                <w:lang w:eastAsia="en-GB"/>
                <w14:ligatures w14:val="none"/>
              </w:rPr>
              <w:t>1. A new strategic document and accompanying action plan that covers counter terrorism and all forms of radicalization and violent extremism (irrespective of political, religious or ethno-nationalist so-called justification) are adopted in line with EU policies, including envisaging concrete steps to prevent recruitment and participation of Serbian citizens as foreign fighters and to prosecute returning foreign fighters returned to Serbia</w:t>
            </w:r>
          </w:p>
        </w:tc>
      </w:tr>
      <w:tr w:rsidR="00FB2868" w:rsidRPr="002C702E" w14:paraId="62A8853E" w14:textId="77777777" w:rsidTr="0211F308">
        <w:trPr>
          <w:trHeight w:val="559"/>
        </w:trPr>
        <w:tc>
          <w:tcPr>
            <w:tcW w:w="2122" w:type="dxa"/>
            <w:shd w:val="clear" w:color="auto" w:fill="0E2841" w:themeFill="text2"/>
          </w:tcPr>
          <w:p w14:paraId="23871B92" w14:textId="77777777" w:rsidR="00FB2868" w:rsidRPr="002C702E" w:rsidRDefault="00FB2868">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Step deadline</w:t>
            </w:r>
          </w:p>
        </w:tc>
        <w:tc>
          <w:tcPr>
            <w:tcW w:w="6804" w:type="dxa"/>
          </w:tcPr>
          <w:p w14:paraId="11396A1D" w14:textId="0C1139BF" w:rsidR="00FB2868" w:rsidRPr="002C702E" w:rsidRDefault="008A6542">
            <w:pPr>
              <w:spacing w:before="120" w:after="120"/>
              <w:rPr>
                <w:rFonts w:ascii="Aptos" w:eastAsia="Times New Roman" w:hAnsi="Aptos" w:cs="Times New Roman"/>
                <w:color w:val="000000"/>
                <w:kern w:val="0"/>
                <w:sz w:val="20"/>
                <w:szCs w:val="20"/>
                <w:lang w:val="en-GB" w:eastAsia="en-GB"/>
                <w14:ligatures w14:val="none"/>
              </w:rPr>
            </w:pPr>
            <w:r w:rsidRPr="008A6542">
              <w:rPr>
                <w:rFonts w:ascii="Aptos" w:eastAsia="Times New Roman" w:hAnsi="Aptos" w:cs="Times New Roman"/>
                <w:color w:val="000000"/>
                <w:kern w:val="0"/>
                <w:sz w:val="20"/>
                <w:szCs w:val="20"/>
                <w:lang w:eastAsia="en-GB"/>
                <w14:ligatures w14:val="none"/>
              </w:rPr>
              <w:t>June 2025</w:t>
            </w:r>
          </w:p>
        </w:tc>
      </w:tr>
      <w:tr w:rsidR="00FB2868" w:rsidRPr="002C702E" w14:paraId="2102B1F0" w14:textId="77777777" w:rsidTr="0211F308">
        <w:trPr>
          <w:trHeight w:val="553"/>
        </w:trPr>
        <w:tc>
          <w:tcPr>
            <w:tcW w:w="2122" w:type="dxa"/>
            <w:shd w:val="clear" w:color="auto" w:fill="0E2841" w:themeFill="text2"/>
          </w:tcPr>
          <w:p w14:paraId="760C89E4"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Step value in EUR</w:t>
            </w:r>
          </w:p>
        </w:tc>
        <w:tc>
          <w:tcPr>
            <w:tcW w:w="6804" w:type="dxa"/>
          </w:tcPr>
          <w:p w14:paraId="5A12DF05" w14:textId="11DA3044" w:rsidR="00FB2868" w:rsidRPr="002C702E" w:rsidRDefault="008D7865">
            <w:pPr>
              <w:spacing w:before="120" w:after="120"/>
              <w:rPr>
                <w:rFonts w:ascii="Aptos" w:eastAsia="Times New Roman" w:hAnsi="Aptos" w:cs="Times New Roman"/>
                <w:color w:val="000000"/>
                <w:kern w:val="0"/>
                <w:sz w:val="20"/>
                <w:szCs w:val="20"/>
                <w:lang w:val="en-GB" w:eastAsia="en-GB"/>
                <w14:ligatures w14:val="none"/>
              </w:rPr>
            </w:pPr>
            <w:r w:rsidRPr="008D7865">
              <w:rPr>
                <w:rFonts w:ascii="Aptos" w:eastAsia="Times New Roman" w:hAnsi="Aptos" w:cs="Times New Roman"/>
                <w:color w:val="000000"/>
                <w:kern w:val="0"/>
                <w:sz w:val="20"/>
                <w:szCs w:val="20"/>
                <w:lang w:eastAsia="en-GB"/>
                <w14:ligatures w14:val="none"/>
              </w:rPr>
              <w:t>13</w:t>
            </w:r>
            <w:r w:rsidRPr="008D7865">
              <w:rPr>
                <w:rFonts w:ascii="Aptos" w:eastAsia="Times New Roman" w:hAnsi="Aptos" w:cs="Times New Roman"/>
                <w:color w:val="000000"/>
                <w:kern w:val="0"/>
                <w:sz w:val="20"/>
                <w:szCs w:val="20"/>
                <w:lang w:val="sr-Latn-RS" w:eastAsia="en-GB"/>
                <w14:ligatures w14:val="none"/>
              </w:rPr>
              <w:t>,</w:t>
            </w:r>
            <w:r w:rsidRPr="008D7865">
              <w:rPr>
                <w:rFonts w:ascii="Aptos" w:eastAsia="Times New Roman" w:hAnsi="Aptos" w:cs="Times New Roman"/>
                <w:color w:val="000000"/>
                <w:kern w:val="0"/>
                <w:sz w:val="20"/>
                <w:szCs w:val="20"/>
                <w:lang w:eastAsia="en-GB"/>
                <w14:ligatures w14:val="none"/>
              </w:rPr>
              <w:t>587</w:t>
            </w:r>
            <w:r w:rsidRPr="008D7865">
              <w:rPr>
                <w:rFonts w:ascii="Aptos" w:eastAsia="Times New Roman" w:hAnsi="Aptos" w:cs="Times New Roman"/>
                <w:color w:val="000000"/>
                <w:kern w:val="0"/>
                <w:sz w:val="20"/>
                <w:szCs w:val="20"/>
                <w:lang w:val="sr-Latn-RS" w:eastAsia="en-GB"/>
                <w14:ligatures w14:val="none"/>
              </w:rPr>
              <w:t>,</w:t>
            </w:r>
            <w:r w:rsidRPr="008D7865">
              <w:rPr>
                <w:rFonts w:ascii="Aptos" w:eastAsia="Times New Roman" w:hAnsi="Aptos" w:cs="Times New Roman"/>
                <w:color w:val="000000"/>
                <w:kern w:val="0"/>
                <w:sz w:val="20"/>
                <w:szCs w:val="20"/>
                <w:lang w:eastAsia="en-GB"/>
                <w14:ligatures w14:val="none"/>
              </w:rPr>
              <w:t>623</w:t>
            </w:r>
            <w:r w:rsidRPr="008D7865">
              <w:rPr>
                <w:rFonts w:ascii="Aptos" w:eastAsia="Times New Roman" w:hAnsi="Aptos" w:cs="Times New Roman"/>
                <w:color w:val="000000"/>
                <w:kern w:val="0"/>
                <w:sz w:val="20"/>
                <w:szCs w:val="20"/>
                <w:lang w:val="sr-Latn-RS" w:eastAsia="en-GB"/>
                <w14:ligatures w14:val="none"/>
              </w:rPr>
              <w:t>.</w:t>
            </w:r>
            <w:r w:rsidRPr="008D7865">
              <w:rPr>
                <w:rFonts w:ascii="Aptos" w:eastAsia="Times New Roman" w:hAnsi="Aptos" w:cs="Times New Roman"/>
                <w:color w:val="000000"/>
                <w:kern w:val="0"/>
                <w:sz w:val="20"/>
                <w:szCs w:val="20"/>
                <w:lang w:eastAsia="en-GB"/>
                <w14:ligatures w14:val="none"/>
              </w:rPr>
              <w:t>37</w:t>
            </w:r>
          </w:p>
        </w:tc>
      </w:tr>
      <w:tr w:rsidR="00FB2868" w:rsidRPr="002C702E" w14:paraId="2CBE848B" w14:textId="77777777" w:rsidTr="0211F308">
        <w:trPr>
          <w:trHeight w:val="535"/>
        </w:trPr>
        <w:tc>
          <w:tcPr>
            <w:tcW w:w="2122" w:type="dxa"/>
            <w:shd w:val="clear" w:color="auto" w:fill="0E2841" w:themeFill="text2"/>
          </w:tcPr>
          <w:p w14:paraId="7F7105F9"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Responsible</w:t>
            </w:r>
          </w:p>
        </w:tc>
        <w:tc>
          <w:tcPr>
            <w:tcW w:w="6804" w:type="dxa"/>
          </w:tcPr>
          <w:p w14:paraId="2DFF0DBB" w14:textId="625E0488" w:rsidR="00FB2868" w:rsidRPr="002C702E" w:rsidRDefault="008D7865">
            <w:pPr>
              <w:spacing w:before="120" w:after="120"/>
              <w:rPr>
                <w:rFonts w:ascii="Aptos" w:eastAsia="Times New Roman" w:hAnsi="Aptos" w:cs="Times New Roman"/>
                <w:color w:val="000000"/>
                <w:kern w:val="0"/>
                <w:sz w:val="20"/>
                <w:szCs w:val="20"/>
                <w:lang w:val="en-GB" w:eastAsia="en-GB"/>
                <w14:ligatures w14:val="none"/>
              </w:rPr>
            </w:pPr>
            <w:r w:rsidRPr="008D7865">
              <w:rPr>
                <w:rFonts w:ascii="Aptos" w:eastAsia="Times New Roman" w:hAnsi="Aptos" w:cs="Times New Roman"/>
                <w:color w:val="000000"/>
                <w:kern w:val="0"/>
                <w:sz w:val="20"/>
                <w:szCs w:val="20"/>
                <w:lang w:eastAsia="en-GB"/>
                <w14:ligatures w14:val="none"/>
              </w:rPr>
              <w:t xml:space="preserve">Ministry of </w:t>
            </w:r>
            <w:r w:rsidR="008A6542">
              <w:rPr>
                <w:rFonts w:ascii="Aptos" w:eastAsia="Times New Roman" w:hAnsi="Aptos" w:cs="Times New Roman"/>
                <w:color w:val="000000"/>
                <w:kern w:val="0"/>
                <w:sz w:val="20"/>
                <w:szCs w:val="20"/>
                <w:lang w:eastAsia="en-GB"/>
                <w14:ligatures w14:val="none"/>
              </w:rPr>
              <w:t>Interior</w:t>
            </w:r>
          </w:p>
        </w:tc>
      </w:tr>
      <w:tr w:rsidR="00FB2868" w:rsidRPr="002C702E" w14:paraId="55F650B8" w14:textId="77777777" w:rsidTr="0211F308">
        <w:trPr>
          <w:trHeight w:val="583"/>
        </w:trPr>
        <w:tc>
          <w:tcPr>
            <w:tcW w:w="2122" w:type="dxa"/>
            <w:shd w:val="clear" w:color="auto" w:fill="0E2841" w:themeFill="text2"/>
          </w:tcPr>
          <w:p w14:paraId="23EF9886" w14:textId="77777777" w:rsidR="00FB2868" w:rsidRPr="002C702E" w:rsidRDefault="00FB2868">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Baseline</w:t>
            </w:r>
          </w:p>
        </w:tc>
        <w:tc>
          <w:tcPr>
            <w:tcW w:w="6804" w:type="dxa"/>
          </w:tcPr>
          <w:p w14:paraId="7C42A877" w14:textId="7BE53833" w:rsidR="00DA3D09" w:rsidRPr="00DA3D09" w:rsidRDefault="00DA3D09" w:rsidP="00DA3D09">
            <w:pPr>
              <w:spacing w:before="120" w:after="120"/>
              <w:rPr>
                <w:rFonts w:ascii="Aptos" w:eastAsia="Times New Roman" w:hAnsi="Aptos" w:cs="Times New Roman"/>
                <w:color w:val="000000"/>
                <w:kern w:val="0"/>
                <w:sz w:val="20"/>
                <w:szCs w:val="20"/>
                <w:lang w:eastAsia="en-GB"/>
                <w14:ligatures w14:val="none"/>
              </w:rPr>
            </w:pPr>
            <w:r>
              <w:t xml:space="preserve"> </w:t>
            </w:r>
            <w:r w:rsidRPr="00DA3D09">
              <w:rPr>
                <w:rFonts w:ascii="Aptos" w:eastAsia="Times New Roman" w:hAnsi="Aptos" w:cs="Times New Roman"/>
                <w:color w:val="000000"/>
                <w:kern w:val="0"/>
                <w:sz w:val="20"/>
                <w:szCs w:val="20"/>
                <w:lang w:eastAsia="en-GB"/>
                <w14:ligatures w14:val="none"/>
              </w:rPr>
              <w:t xml:space="preserve">The Republic of Serbia has not had a strategic document on </w:t>
            </w:r>
            <w:proofErr w:type="gramStart"/>
            <w:r w:rsidRPr="00DA3D09">
              <w:rPr>
                <w:rFonts w:ascii="Aptos" w:eastAsia="Times New Roman" w:hAnsi="Aptos" w:cs="Times New Roman"/>
                <w:color w:val="000000"/>
                <w:kern w:val="0"/>
                <w:sz w:val="20"/>
                <w:szCs w:val="20"/>
                <w:lang w:eastAsia="en-GB"/>
                <w14:ligatures w14:val="none"/>
              </w:rPr>
              <w:t>counter-terrorism</w:t>
            </w:r>
            <w:proofErr w:type="gramEnd"/>
            <w:r w:rsidRPr="00DA3D09">
              <w:rPr>
                <w:rFonts w:ascii="Aptos" w:eastAsia="Times New Roman" w:hAnsi="Aptos" w:cs="Times New Roman"/>
                <w:color w:val="000000"/>
                <w:kern w:val="0"/>
                <w:sz w:val="20"/>
                <w:szCs w:val="20"/>
                <w:lang w:eastAsia="en-GB"/>
                <w14:ligatures w14:val="none"/>
              </w:rPr>
              <w:t xml:space="preserve"> and the prevention of violent extremism for more than two years. In the meantime, Serbia has adopted a report on the implementation of the previous strategic framework for the period 2017–2021 and has developed a study covering all forms of </w:t>
            </w:r>
            <w:proofErr w:type="spellStart"/>
            <w:r w:rsidRPr="00DA3D09">
              <w:rPr>
                <w:rFonts w:ascii="Aptos" w:eastAsia="Times New Roman" w:hAnsi="Aptos" w:cs="Times New Roman"/>
                <w:color w:val="000000"/>
                <w:kern w:val="0"/>
                <w:sz w:val="20"/>
                <w:szCs w:val="20"/>
                <w:lang w:eastAsia="en-GB"/>
                <w14:ligatures w14:val="none"/>
              </w:rPr>
              <w:t>radicalisation</w:t>
            </w:r>
            <w:proofErr w:type="spellEnd"/>
            <w:r w:rsidRPr="00DA3D09">
              <w:rPr>
                <w:rFonts w:ascii="Aptos" w:eastAsia="Times New Roman" w:hAnsi="Aptos" w:cs="Times New Roman"/>
                <w:color w:val="000000"/>
                <w:kern w:val="0"/>
                <w:sz w:val="20"/>
                <w:szCs w:val="20"/>
                <w:lang w:eastAsia="en-GB"/>
                <w14:ligatures w14:val="none"/>
              </w:rPr>
              <w:t xml:space="preserve"> and violent extremism.</w:t>
            </w:r>
          </w:p>
          <w:p w14:paraId="2445C874" w14:textId="77777777" w:rsidR="00DA3D09" w:rsidRPr="00DA3D09" w:rsidRDefault="00DA3D09" w:rsidP="00DA3D09">
            <w:pPr>
              <w:spacing w:before="120" w:after="120"/>
              <w:rPr>
                <w:rFonts w:ascii="Aptos" w:eastAsia="Times New Roman" w:hAnsi="Aptos" w:cs="Times New Roman"/>
                <w:color w:val="000000"/>
                <w:kern w:val="0"/>
                <w:sz w:val="20"/>
                <w:szCs w:val="20"/>
                <w:lang w:eastAsia="en-GB"/>
                <w14:ligatures w14:val="none"/>
              </w:rPr>
            </w:pPr>
            <w:r w:rsidRPr="00DA3D09">
              <w:rPr>
                <w:rFonts w:ascii="Aptos" w:eastAsia="Times New Roman" w:hAnsi="Aptos" w:cs="Times New Roman"/>
                <w:color w:val="000000"/>
                <w:kern w:val="0"/>
                <w:sz w:val="20"/>
                <w:szCs w:val="20"/>
                <w:lang w:eastAsia="en-GB"/>
                <w14:ligatures w14:val="none"/>
              </w:rPr>
              <w:t xml:space="preserve">Serbia signed the Joint Action Plan on </w:t>
            </w:r>
            <w:proofErr w:type="gramStart"/>
            <w:r w:rsidRPr="00DA3D09">
              <w:rPr>
                <w:rFonts w:ascii="Aptos" w:eastAsia="Times New Roman" w:hAnsi="Aptos" w:cs="Times New Roman"/>
                <w:color w:val="000000"/>
                <w:kern w:val="0"/>
                <w:sz w:val="20"/>
                <w:szCs w:val="20"/>
                <w:lang w:eastAsia="en-GB"/>
                <w14:ligatures w14:val="none"/>
              </w:rPr>
              <w:t>Counter-Terrorism</w:t>
            </w:r>
            <w:proofErr w:type="gramEnd"/>
            <w:r w:rsidRPr="00DA3D09">
              <w:rPr>
                <w:rFonts w:ascii="Aptos" w:eastAsia="Times New Roman" w:hAnsi="Aptos" w:cs="Times New Roman"/>
                <w:color w:val="000000"/>
                <w:kern w:val="0"/>
                <w:sz w:val="20"/>
                <w:szCs w:val="20"/>
                <w:lang w:eastAsia="en-GB"/>
                <w14:ligatures w14:val="none"/>
              </w:rPr>
              <w:t xml:space="preserve"> for the Western Balkans in 2018, as well as a bilateral arrangement for its implementation, with the aim of aligning its policies with EU best practices.</w:t>
            </w:r>
          </w:p>
          <w:p w14:paraId="39BAFFDB" w14:textId="23A9F204" w:rsidR="00FB2868" w:rsidRPr="002C702E" w:rsidRDefault="00DA3D09" w:rsidP="00DA3D09">
            <w:pPr>
              <w:spacing w:before="120" w:after="120"/>
              <w:rPr>
                <w:rFonts w:ascii="Aptos" w:eastAsia="Times New Roman" w:hAnsi="Aptos" w:cs="Times New Roman"/>
                <w:color w:val="000000"/>
                <w:kern w:val="0"/>
                <w:sz w:val="20"/>
                <w:szCs w:val="20"/>
                <w:lang w:val="en-GB" w:eastAsia="en-GB"/>
                <w14:ligatures w14:val="none"/>
              </w:rPr>
            </w:pPr>
            <w:r w:rsidRPr="00DA3D09">
              <w:rPr>
                <w:rFonts w:ascii="Aptos" w:eastAsia="Times New Roman" w:hAnsi="Aptos" w:cs="Times New Roman"/>
                <w:color w:val="000000"/>
                <w:kern w:val="0"/>
                <w:sz w:val="20"/>
                <w:szCs w:val="20"/>
                <w:lang w:eastAsia="en-GB"/>
                <w14:ligatures w14:val="none"/>
              </w:rPr>
              <w:t xml:space="preserve">These national documents, together with the findings from the implementation of the Joint Action Plan, will serve as the baseline for the preparation of a new strategic framework </w:t>
            </w:r>
            <w:proofErr w:type="gramStart"/>
            <w:r w:rsidRPr="00DA3D09">
              <w:rPr>
                <w:rFonts w:ascii="Aptos" w:eastAsia="Times New Roman" w:hAnsi="Aptos" w:cs="Times New Roman"/>
                <w:color w:val="000000"/>
                <w:kern w:val="0"/>
                <w:sz w:val="20"/>
                <w:szCs w:val="20"/>
                <w:lang w:eastAsia="en-GB"/>
                <w14:ligatures w14:val="none"/>
              </w:rPr>
              <w:t>in the area of</w:t>
            </w:r>
            <w:proofErr w:type="gramEnd"/>
            <w:r w:rsidRPr="00DA3D09">
              <w:rPr>
                <w:rFonts w:ascii="Aptos" w:eastAsia="Times New Roman" w:hAnsi="Aptos" w:cs="Times New Roman"/>
                <w:color w:val="000000"/>
                <w:kern w:val="0"/>
                <w:sz w:val="20"/>
                <w:szCs w:val="20"/>
                <w:lang w:eastAsia="en-GB"/>
                <w14:ligatures w14:val="none"/>
              </w:rPr>
              <w:t xml:space="preserve"> </w:t>
            </w:r>
            <w:proofErr w:type="gramStart"/>
            <w:r w:rsidRPr="00DA3D09">
              <w:rPr>
                <w:rFonts w:ascii="Aptos" w:eastAsia="Times New Roman" w:hAnsi="Aptos" w:cs="Times New Roman"/>
                <w:color w:val="000000"/>
                <w:kern w:val="0"/>
                <w:sz w:val="20"/>
                <w:szCs w:val="20"/>
                <w:lang w:eastAsia="en-GB"/>
                <w14:ligatures w14:val="none"/>
              </w:rPr>
              <w:t>counter-terrorism</w:t>
            </w:r>
            <w:proofErr w:type="gramEnd"/>
            <w:r w:rsidRPr="00DA3D09">
              <w:rPr>
                <w:rFonts w:ascii="Aptos" w:eastAsia="Times New Roman" w:hAnsi="Aptos" w:cs="Times New Roman"/>
                <w:color w:val="000000"/>
                <w:kern w:val="0"/>
                <w:sz w:val="20"/>
                <w:szCs w:val="20"/>
                <w:lang w:eastAsia="en-GB"/>
                <w14:ligatures w14:val="none"/>
              </w:rPr>
              <w:t xml:space="preserve"> and the prevention of violent extremism (CT/PVE).</w:t>
            </w:r>
          </w:p>
        </w:tc>
      </w:tr>
      <w:tr w:rsidR="00FB2868" w:rsidRPr="002C702E" w14:paraId="3D8C29E1" w14:textId="77777777" w:rsidTr="0211F308">
        <w:trPr>
          <w:trHeight w:val="577"/>
        </w:trPr>
        <w:tc>
          <w:tcPr>
            <w:tcW w:w="2122" w:type="dxa"/>
            <w:shd w:val="clear" w:color="auto" w:fill="0E2841" w:themeFill="text2"/>
          </w:tcPr>
          <w:p w14:paraId="65838CB7" w14:textId="77777777" w:rsidR="00FB2868" w:rsidRPr="002C702E" w:rsidRDefault="00FB2868">
            <w:pPr>
              <w:spacing w:before="120" w:after="120"/>
              <w:rPr>
                <w:rFonts w:ascii="Aptos" w:eastAsia="Times New Roman" w:hAnsi="Aptos" w:cs="Times New Roman"/>
                <w:b/>
                <w:bCs/>
                <w:color w:val="000000"/>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Sources of verification</w:t>
            </w:r>
          </w:p>
        </w:tc>
        <w:tc>
          <w:tcPr>
            <w:tcW w:w="6804" w:type="dxa"/>
          </w:tcPr>
          <w:p w14:paraId="02BA3B93" w14:textId="21B6E176" w:rsidR="00FB2868" w:rsidRPr="002C702E" w:rsidRDefault="2CC36E5C">
            <w:pPr>
              <w:spacing w:before="120" w:after="120"/>
              <w:rPr>
                <w:rFonts w:ascii="Aptos" w:eastAsia="Times New Roman" w:hAnsi="Aptos" w:cs="Times New Roman"/>
                <w:color w:val="000000"/>
                <w:kern w:val="0"/>
                <w:sz w:val="20"/>
                <w:szCs w:val="20"/>
                <w:lang w:val="en-GB" w:eastAsia="en-GB"/>
                <w14:ligatures w14:val="none"/>
              </w:rPr>
            </w:pPr>
            <w:r w:rsidRPr="008A6542">
              <w:rPr>
                <w:rFonts w:ascii="Aptos" w:eastAsia="Times New Roman" w:hAnsi="Aptos" w:cs="Times New Roman"/>
                <w:color w:val="000000"/>
                <w:kern w:val="0"/>
                <w:sz w:val="20"/>
                <w:szCs w:val="20"/>
                <w:lang w:eastAsia="en-GB"/>
                <w14:ligatures w14:val="none"/>
              </w:rPr>
              <w:t>Official website of the Ministry of the Interior, where the documents will be made public, after adoption. Previously, during the process prior to adoption, the documents will be published</w:t>
            </w:r>
            <w:r w:rsidR="54EEC78C" w:rsidRPr="008A6542">
              <w:rPr>
                <w:rFonts w:ascii="Aptos" w:eastAsia="Times New Roman" w:hAnsi="Aptos" w:cs="Times New Roman"/>
                <w:color w:val="000000"/>
                <w:kern w:val="0"/>
                <w:sz w:val="20"/>
                <w:szCs w:val="20"/>
                <w:lang w:eastAsia="en-GB"/>
                <w14:ligatures w14:val="none"/>
              </w:rPr>
              <w:t xml:space="preserve"> on the e-C</w:t>
            </w:r>
            <w:r w:rsidR="117A6DA0" w:rsidRPr="008A6542">
              <w:rPr>
                <w:rFonts w:ascii="Aptos" w:eastAsia="Times New Roman" w:hAnsi="Aptos" w:cs="Times New Roman"/>
                <w:color w:val="000000"/>
                <w:kern w:val="0"/>
                <w:sz w:val="20"/>
                <w:szCs w:val="20"/>
                <w:lang w:eastAsia="en-GB"/>
                <w14:ligatures w14:val="none"/>
              </w:rPr>
              <w:t>o</w:t>
            </w:r>
            <w:r w:rsidR="54EEC78C" w:rsidRPr="008A6542">
              <w:rPr>
                <w:rFonts w:ascii="Aptos" w:eastAsia="Times New Roman" w:hAnsi="Aptos" w:cs="Times New Roman"/>
                <w:color w:val="000000"/>
                <w:kern w:val="0"/>
                <w:sz w:val="20"/>
                <w:szCs w:val="20"/>
                <w:lang w:eastAsia="en-GB"/>
                <w14:ligatures w14:val="none"/>
              </w:rPr>
              <w:t>nsultation portal.</w:t>
            </w:r>
          </w:p>
        </w:tc>
      </w:tr>
    </w:tbl>
    <w:p w14:paraId="452F6E6A" w14:textId="77777777" w:rsidR="00FB2868" w:rsidRPr="002C702E" w:rsidRDefault="00FB2868" w:rsidP="00FB2868">
      <w:pPr>
        <w:rPr>
          <w:lang w:val="en-GB"/>
        </w:rPr>
      </w:pPr>
    </w:p>
    <w:p w14:paraId="47ABA289" w14:textId="77777777" w:rsidR="00FB2868" w:rsidRPr="00D4031A" w:rsidRDefault="00FB2868" w:rsidP="00FB2868">
      <w:pPr>
        <w:pStyle w:val="Heading1"/>
        <w:numPr>
          <w:ilvl w:val="0"/>
          <w:numId w:val="1"/>
        </w:numPr>
        <w:rPr>
          <w:lang w:val="en-GB"/>
        </w:rPr>
      </w:pPr>
      <w:r w:rsidRPr="00D4031A">
        <w:rPr>
          <w:lang w:val="en-GB"/>
        </w:rPr>
        <w:t>Analysis</w:t>
      </w:r>
    </w:p>
    <w:p w14:paraId="1E874D4B" w14:textId="77777777" w:rsidR="00FB2868" w:rsidRPr="002C702E"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D4031A" w14:paraId="4BA5DF45" w14:textId="77777777" w:rsidTr="0211F308">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7AD02D3"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Define step milestones</w:t>
            </w:r>
          </w:p>
        </w:tc>
        <w:tc>
          <w:tcPr>
            <w:tcW w:w="6753" w:type="dxa"/>
          </w:tcPr>
          <w:p w14:paraId="5352248E" w14:textId="48E5733B" w:rsidR="00FB2868" w:rsidRPr="002C702E" w:rsidRDefault="2FFD97D1" w:rsidP="0211F30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211F308">
              <w:rPr>
                <w:i/>
                <w:iCs/>
                <w:sz w:val="20"/>
                <w:szCs w:val="20"/>
                <w:lang w:val="en-GB"/>
              </w:rPr>
              <w:t>For each step, based on the provisions of the Reform Agenda, define several key milestones for full achievement and number them. E.g. for a legislative step, that can include: 1. Announcement of the work on the new law, 2. Setting up a working group, 3. Initial consultation (via e</w:t>
            </w:r>
            <w:r w:rsidR="62C4C65E" w:rsidRPr="0211F308">
              <w:rPr>
                <w:i/>
                <w:iCs/>
                <w:sz w:val="20"/>
                <w:szCs w:val="20"/>
                <w:lang w:val="en-GB"/>
              </w:rPr>
              <w:t>-</w:t>
            </w:r>
            <w:r w:rsidRPr="0211F308">
              <w:rPr>
                <w:i/>
                <w:iCs/>
                <w:sz w:val="20"/>
                <w:szCs w:val="20"/>
                <w:lang w:val="en-GB"/>
              </w:rPr>
              <w:t>Consultation portal), 4. Publication of all key materials on e</w:t>
            </w:r>
            <w:r w:rsidR="1D39469D" w:rsidRPr="0211F308">
              <w:rPr>
                <w:i/>
                <w:iCs/>
                <w:sz w:val="20"/>
                <w:szCs w:val="20"/>
                <w:lang w:val="en-GB"/>
              </w:rPr>
              <w:t>-</w:t>
            </w:r>
            <w:r w:rsidRPr="0211F308">
              <w:rPr>
                <w:i/>
                <w:iCs/>
                <w:sz w:val="20"/>
                <w:szCs w:val="20"/>
                <w:lang w:val="en-GB"/>
              </w:rPr>
              <w:t xml:space="preserve">Consultation portal (draft law, RIA, consultation report), 5. Public debate in accordance with the Rules of Procedure of the Government, 6. Adoption in Parliament (with analysis of the </w:t>
            </w:r>
            <w:r w:rsidRPr="0211F308">
              <w:rPr>
                <w:i/>
                <w:iCs/>
                <w:sz w:val="20"/>
                <w:szCs w:val="20"/>
                <w:lang w:val="en-GB"/>
              </w:rPr>
              <w:lastRenderedPageBreak/>
              <w:t xml:space="preserve">adoption procedure). Depending on the reform step, make sure that milestones </w:t>
            </w:r>
            <w:proofErr w:type="gramStart"/>
            <w:r w:rsidRPr="0211F308">
              <w:rPr>
                <w:i/>
                <w:iCs/>
                <w:sz w:val="20"/>
                <w:szCs w:val="20"/>
                <w:lang w:val="en-GB"/>
              </w:rPr>
              <w:t>take into account</w:t>
            </w:r>
            <w:proofErr w:type="gramEnd"/>
            <w:r w:rsidRPr="0211F308">
              <w:rPr>
                <w:i/>
                <w:iCs/>
                <w:sz w:val="20"/>
                <w:szCs w:val="20"/>
                <w:lang w:val="en-GB"/>
              </w:rPr>
              <w:t xml:space="preserve"> applicable legal requirements (e.g. Law on the Planning System, Government Rules of Procedure, etc.).</w:t>
            </w:r>
          </w:p>
          <w:p w14:paraId="046BB3B1" w14:textId="77777777" w:rsidR="00BF3ABC" w:rsidRPr="00BF3ABC" w:rsidRDefault="00BF3ABC" w:rsidP="00BF3ABC">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BF3ABC">
              <w:rPr>
                <w:sz w:val="20"/>
                <w:szCs w:val="20"/>
                <w:lang w:val="en-GB"/>
              </w:rPr>
              <w:t>Setting up the working group in an open process, open to civil society organisations</w:t>
            </w:r>
          </w:p>
          <w:p w14:paraId="32D92E32" w14:textId="77777777" w:rsidR="00BF3ABC" w:rsidRPr="00BF3ABC" w:rsidRDefault="00BF3ABC" w:rsidP="00BF3ABC">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BF3ABC">
              <w:rPr>
                <w:sz w:val="20"/>
                <w:szCs w:val="20"/>
                <w:lang w:val="en-GB"/>
              </w:rPr>
              <w:t>The working group jointly formulates the proposed amendments through the participation and consensus of all its members</w:t>
            </w:r>
          </w:p>
          <w:p w14:paraId="50CE0409" w14:textId="3F350784" w:rsidR="00BF3ABC" w:rsidRPr="00BF3ABC" w:rsidRDefault="15C25F54" w:rsidP="00BF3ABC">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211F308">
              <w:rPr>
                <w:sz w:val="20"/>
                <w:szCs w:val="20"/>
                <w:lang w:val="en-GB"/>
              </w:rPr>
              <w:t>Publication of the draft document on e</w:t>
            </w:r>
            <w:r w:rsidR="52E55542" w:rsidRPr="0211F308">
              <w:rPr>
                <w:sz w:val="20"/>
                <w:szCs w:val="20"/>
                <w:lang w:val="en-GB"/>
              </w:rPr>
              <w:t>-</w:t>
            </w:r>
            <w:r w:rsidRPr="0211F308">
              <w:rPr>
                <w:sz w:val="20"/>
                <w:szCs w:val="20"/>
                <w:lang w:val="en-GB"/>
              </w:rPr>
              <w:t>Consultation Portal</w:t>
            </w:r>
          </w:p>
          <w:p w14:paraId="0A7DBF3D" w14:textId="77777777" w:rsidR="00BF3ABC" w:rsidRPr="00BF3ABC" w:rsidRDefault="00BF3ABC" w:rsidP="00BF3ABC">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BF3ABC">
              <w:rPr>
                <w:sz w:val="20"/>
                <w:szCs w:val="20"/>
                <w:lang w:val="en-GB"/>
              </w:rPr>
              <w:t>Consultation performed on the Portal</w:t>
            </w:r>
          </w:p>
          <w:p w14:paraId="151E4534" w14:textId="77777777" w:rsidR="00BF3ABC" w:rsidRPr="00BF3ABC" w:rsidRDefault="00BF3ABC" w:rsidP="00BF3ABC">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BF3ABC">
              <w:rPr>
                <w:sz w:val="20"/>
                <w:szCs w:val="20"/>
                <w:lang w:val="en-GB"/>
              </w:rPr>
              <w:t>Public debate conducted</w:t>
            </w:r>
          </w:p>
          <w:p w14:paraId="45519EA7" w14:textId="699E1499" w:rsidR="00BF3ABC" w:rsidRPr="00BF3ABC" w:rsidRDefault="15C25F54" w:rsidP="00BF3ABC">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211F308">
              <w:rPr>
                <w:sz w:val="20"/>
                <w:szCs w:val="20"/>
                <w:lang w:val="en-GB"/>
              </w:rPr>
              <w:t>Consultation and public debate report(s) published on e</w:t>
            </w:r>
            <w:r w:rsidR="437919A1" w:rsidRPr="0211F308">
              <w:rPr>
                <w:sz w:val="20"/>
                <w:szCs w:val="20"/>
                <w:lang w:val="en-GB"/>
              </w:rPr>
              <w:t>-</w:t>
            </w:r>
            <w:r w:rsidRPr="0211F308">
              <w:rPr>
                <w:sz w:val="20"/>
                <w:szCs w:val="20"/>
                <w:lang w:val="en-GB"/>
              </w:rPr>
              <w:t xml:space="preserve">Consultation Portal, along with final version of </w:t>
            </w:r>
            <w:r w:rsidR="7F775845" w:rsidRPr="0211F308">
              <w:rPr>
                <w:sz w:val="20"/>
                <w:szCs w:val="20"/>
                <w:lang w:val="en-GB"/>
              </w:rPr>
              <w:t>the document.</w:t>
            </w:r>
          </w:p>
          <w:p w14:paraId="67404070" w14:textId="77777777" w:rsidR="00BF3ABC" w:rsidRPr="00BF3ABC" w:rsidRDefault="00BF3ABC" w:rsidP="00BF3ABC">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BF3ABC">
              <w:rPr>
                <w:sz w:val="20"/>
                <w:szCs w:val="20"/>
                <w:lang w:val="en-GB"/>
              </w:rPr>
              <w:t>Adoption at the Government session</w:t>
            </w:r>
          </w:p>
          <w:p w14:paraId="70DF900B" w14:textId="26F4E560" w:rsidR="00FB2868" w:rsidRPr="002C702E" w:rsidRDefault="00BF3ABC" w:rsidP="00BF3ABC">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BF3ABC">
              <w:rPr>
                <w:sz w:val="20"/>
                <w:szCs w:val="20"/>
                <w:lang w:val="en-GB"/>
              </w:rPr>
              <w:t>Publication in the Official Gazette and the website of the Ministry of the Interior/Government</w:t>
            </w:r>
          </w:p>
        </w:tc>
      </w:tr>
      <w:tr w:rsidR="00FB2868" w:rsidRPr="002C702E" w14:paraId="582B176D" w14:textId="77777777" w:rsidTr="0211F308">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5733BD9"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 achievement of each milestone</w:t>
            </w:r>
          </w:p>
        </w:tc>
        <w:tc>
          <w:tcPr>
            <w:tcW w:w="6753" w:type="dxa"/>
          </w:tcPr>
          <w:p w14:paraId="20CBCF3F" w14:textId="02FB4B1B" w:rsidR="00FB2868"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For each identified milestone, provide a succinct analysis of its implementation</w:t>
            </w:r>
            <w:r>
              <w:rPr>
                <w:i/>
                <w:iCs/>
                <w:sz w:val="20"/>
                <w:szCs w:val="20"/>
                <w:lang w:val="en-GB"/>
              </w:rPr>
              <w:t xml:space="preserve"> process</w:t>
            </w:r>
            <w:r w:rsidRPr="002C702E">
              <w:rPr>
                <w:i/>
                <w:iCs/>
                <w:sz w:val="20"/>
                <w:szCs w:val="20"/>
                <w:lang w:val="en-GB"/>
              </w:rPr>
              <w:t>. Use numbered points corresponding to the defined milestones above. Please provide references wherever possible.</w:t>
            </w:r>
          </w:p>
          <w:p w14:paraId="39CC9581" w14:textId="77777777" w:rsidR="00E4219B" w:rsidRDefault="00DA3D09" w:rsidP="00E4219B">
            <w:pPr>
              <w:pStyle w:val="ListParagraph"/>
              <w:numPr>
                <w:ilvl w:val="0"/>
                <w:numId w:val="7"/>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E4219B">
              <w:rPr>
                <w:sz w:val="20"/>
                <w:szCs w:val="20"/>
                <w:lang w:val="en-GB"/>
              </w:rPr>
              <w:t xml:space="preserve">The Working Group for drafting the public policy document in the field of the prevention and suppression of terrorism and violent extremism was established by a decision of the Minister of the Interior on 2 December 2024. </w:t>
            </w:r>
          </w:p>
          <w:p w14:paraId="4C8410C6" w14:textId="2ADFD4D5" w:rsidR="00DA3D09" w:rsidRPr="00E4219B" w:rsidRDefault="00DA3D09" w:rsidP="00E4219B">
            <w:pPr>
              <w:pStyle w:val="ListParagraph"/>
              <w:numPr>
                <w:ilvl w:val="0"/>
                <w:numId w:val="7"/>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E4219B">
              <w:rPr>
                <w:sz w:val="20"/>
                <w:szCs w:val="20"/>
                <w:lang w:val="en-GB"/>
              </w:rPr>
              <w:t>The Working Group consists of representatives of line ministries, the Prosecutor’s Office, the Security-Intelligence Agency, the Office of the National Security Council, and the University of Criminal Investigation and Police Studies. No invitation was extended to civil society organizations.</w:t>
            </w:r>
            <w:r w:rsidR="00653595">
              <w:rPr>
                <w:sz w:val="20"/>
                <w:szCs w:val="20"/>
                <w:lang w:val="en-GB"/>
              </w:rPr>
              <w:t xml:space="preserve"> </w:t>
            </w:r>
            <w:r w:rsidRPr="00E4219B">
              <w:rPr>
                <w:sz w:val="20"/>
                <w:szCs w:val="20"/>
                <w:lang w:val="en-GB"/>
              </w:rPr>
              <w:t>The work of the Working Group lacked transparency, making it impossible to assess the discussions held or the decision-making process.</w:t>
            </w:r>
          </w:p>
          <w:p w14:paraId="502E11F5" w14:textId="0CFE0209" w:rsidR="00DA3D09" w:rsidRPr="00E4219B" w:rsidRDefault="00DA3D09" w:rsidP="00E4219B">
            <w:pPr>
              <w:pStyle w:val="ListParagraph"/>
              <w:numPr>
                <w:ilvl w:val="0"/>
                <w:numId w:val="7"/>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E4219B">
              <w:rPr>
                <w:sz w:val="20"/>
                <w:szCs w:val="20"/>
                <w:lang w:val="en-GB"/>
              </w:rPr>
              <w:t>The draft document was published on the e-Consultations Portal on 22 April 2025.</w:t>
            </w:r>
          </w:p>
          <w:p w14:paraId="7E6097ED" w14:textId="07A0D044" w:rsidR="00DA3D09" w:rsidRPr="00E4219B" w:rsidRDefault="00DA3D09" w:rsidP="00E4219B">
            <w:pPr>
              <w:pStyle w:val="ListParagraph"/>
              <w:numPr>
                <w:ilvl w:val="0"/>
                <w:numId w:val="7"/>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E4219B">
              <w:rPr>
                <w:sz w:val="20"/>
                <w:szCs w:val="20"/>
                <w:lang w:val="en-GB"/>
              </w:rPr>
              <w:t>Consultations were conducted via the Portal from 22 to 29 April 2025 through written submissions; however, no comments were received.</w:t>
            </w:r>
          </w:p>
          <w:p w14:paraId="6314ADF6" w14:textId="3F626EA2" w:rsidR="00DA3D09" w:rsidRPr="00E4219B" w:rsidRDefault="00DA3D09" w:rsidP="00E4219B">
            <w:pPr>
              <w:pStyle w:val="ListParagraph"/>
              <w:numPr>
                <w:ilvl w:val="0"/>
                <w:numId w:val="7"/>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E4219B">
              <w:rPr>
                <w:sz w:val="20"/>
                <w:szCs w:val="20"/>
                <w:lang w:val="en-GB"/>
              </w:rPr>
              <w:t>A public debate was conducted from 18 June to 6 July 2025 via written submissions on the e-Consultations Portal. Only one submission was received.</w:t>
            </w:r>
          </w:p>
          <w:p w14:paraId="0003AA44" w14:textId="3E3B23F4" w:rsidR="00DA3D09" w:rsidRPr="00E4219B" w:rsidRDefault="00DA3D09" w:rsidP="00E4219B">
            <w:pPr>
              <w:pStyle w:val="ListParagraph"/>
              <w:numPr>
                <w:ilvl w:val="0"/>
                <w:numId w:val="7"/>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E4219B">
              <w:rPr>
                <w:sz w:val="20"/>
                <w:szCs w:val="20"/>
                <w:lang w:val="en-GB"/>
              </w:rPr>
              <w:t>Reports on the consultations and public debate were published on the e-Consultations Portal on 30 April and 21 July 2025, respectively. However, the revised version of the document was not published.</w:t>
            </w:r>
          </w:p>
          <w:p w14:paraId="2A6FD4AE" w14:textId="7DDF1F14" w:rsidR="00DA3D09" w:rsidRPr="00E4219B" w:rsidRDefault="00DA3D09" w:rsidP="00E4219B">
            <w:pPr>
              <w:pStyle w:val="ListParagraph"/>
              <w:numPr>
                <w:ilvl w:val="0"/>
                <w:numId w:val="7"/>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E4219B">
              <w:rPr>
                <w:sz w:val="20"/>
                <w:szCs w:val="20"/>
                <w:lang w:val="en-GB"/>
              </w:rPr>
              <w:t>The document has not yet been adopted at the Government level.</w:t>
            </w:r>
          </w:p>
          <w:p w14:paraId="304D34D3" w14:textId="4BAE4B0D" w:rsidR="00FB2868" w:rsidRDefault="00FB2868" w:rsidP="00E4219B">
            <w:pPr>
              <w:pStyle w:val="ListParagraph"/>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p w14:paraId="79694FE6" w14:textId="004CB2C7" w:rsidR="00E4219B" w:rsidRPr="00E4219B" w:rsidRDefault="00D973BF" w:rsidP="00E4219B">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         </w:t>
            </w:r>
            <w:r w:rsidR="00E4219B" w:rsidRPr="00E4219B">
              <w:rPr>
                <w:sz w:val="20"/>
                <w:szCs w:val="20"/>
                <w:lang w:val="en-GB"/>
              </w:rPr>
              <w:t>8. /</w:t>
            </w:r>
          </w:p>
        </w:tc>
      </w:tr>
      <w:tr w:rsidR="00FB2868" w:rsidRPr="002C702E" w14:paraId="5554DA23" w14:textId="77777777" w:rsidTr="0211F308">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82E8798"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B75112">
              <w:rPr>
                <w:rFonts w:ascii="Aptos" w:eastAsia="Times New Roman" w:hAnsi="Aptos" w:cs="Times New Roman"/>
                <w:kern w:val="0"/>
                <w:sz w:val="20"/>
                <w:szCs w:val="20"/>
                <w:lang w:val="en-GB" w:eastAsia="en-GB"/>
                <w14:ligatures w14:val="none"/>
              </w:rPr>
              <w:t>Key issues in implementation</w:t>
            </w:r>
          </w:p>
        </w:tc>
        <w:tc>
          <w:tcPr>
            <w:tcW w:w="6753" w:type="dxa"/>
          </w:tcPr>
          <w:p w14:paraId="3AEC33B7" w14:textId="0314BFD7" w:rsidR="00B75112" w:rsidRDefault="00FB2868" w:rsidP="00DA3D09">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r w:rsidR="00DA3D09" w:rsidRPr="002C702E" w:rsidDel="00DA3D09">
              <w:rPr>
                <w:i/>
                <w:iCs/>
                <w:sz w:val="20"/>
                <w:szCs w:val="20"/>
                <w:lang w:val="en-GB"/>
              </w:rPr>
              <w:t xml:space="preserve"> </w:t>
            </w:r>
          </w:p>
          <w:p w14:paraId="2FE93114" w14:textId="77777777" w:rsidR="00DA3D09" w:rsidRDefault="00DA3D09" w:rsidP="00DA3D09">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p w14:paraId="27EA86EE" w14:textId="6317B5AF" w:rsidR="00D973BF" w:rsidRDefault="00DA3D09" w:rsidP="00DA3D09">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DA3D09">
              <w:rPr>
                <w:sz w:val="20"/>
                <w:szCs w:val="20"/>
                <w:lang w:val="en-GB"/>
              </w:rPr>
              <w:t xml:space="preserve">Public information on the drafting process was limited to brief notices on the e-Consultations Portal, while the window for submitting comments was unusually short and scheduled during a holiday period. As a result, </w:t>
            </w:r>
            <w:r w:rsidRPr="00DA3D09">
              <w:rPr>
                <w:sz w:val="20"/>
                <w:szCs w:val="20"/>
                <w:lang w:val="en-GB"/>
              </w:rPr>
              <w:lastRenderedPageBreak/>
              <w:t>participation was negligible: by the end of the public debate, only one organization—the Global Initiative against Transnational Organized Crime (GI-TOC)—had submitted comments. Notably, GI-TOC became aware of the process through the e-Consultations Portal rather than through direct outreach, as it was not proactively informed by email despite being a relevant expert organization. Similar feedback was received from other experts, who reported not having been approached to contribute.</w:t>
            </w:r>
            <w:r w:rsidR="002816FF">
              <w:rPr>
                <w:sz w:val="20"/>
                <w:szCs w:val="20"/>
                <w:lang w:val="en-GB"/>
              </w:rPr>
              <w:t xml:space="preserve"> </w:t>
            </w:r>
            <w:r w:rsidRPr="00DA3D09">
              <w:rPr>
                <w:sz w:val="20"/>
                <w:szCs w:val="20"/>
                <w:lang w:val="en-GB"/>
              </w:rPr>
              <w:t xml:space="preserve">Out of seven general and four specific comments submitted by GI-TOC, none were fully accepted; four were partially accepted, and seven were rejected. </w:t>
            </w:r>
          </w:p>
          <w:p w14:paraId="04C4C135" w14:textId="13D3A23D" w:rsidR="00D973BF" w:rsidRDefault="00DA3D09" w:rsidP="00DA3D09">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DA3D09">
              <w:rPr>
                <w:sz w:val="20"/>
                <w:szCs w:val="20"/>
                <w:lang w:val="en-GB"/>
              </w:rPr>
              <w:t>Overall, the consultation process appears formally compliant but substantively limited in responsiveness. Although the public debate was conducted within the prescribed timeframe and a report was published, the low level of participation and the limited uptake of comments suggest that the process functioned more as a procedural requirement than as a mechanism for meaningful revision. The partially accepted comments resulted primarily in minor additions to analytical sections, rather than structural changes to the Program or Action Plan.</w:t>
            </w:r>
            <w:r w:rsidR="00D1166D">
              <w:rPr>
                <w:sz w:val="20"/>
                <w:szCs w:val="20"/>
                <w:lang w:val="en-GB"/>
              </w:rPr>
              <w:t xml:space="preserve"> </w:t>
            </w:r>
            <w:r w:rsidRPr="00DA3D09">
              <w:rPr>
                <w:sz w:val="20"/>
                <w:szCs w:val="20"/>
                <w:lang w:val="en-GB"/>
              </w:rPr>
              <w:t xml:space="preserve">Substantively, the Ministry’s responses reflect a predominantly defensive approach, often justifying the existing framework by referring to established mechanisms, other strategic documents, or broader policy considerations. </w:t>
            </w:r>
          </w:p>
          <w:p w14:paraId="44AC3846" w14:textId="77777777" w:rsidR="00D973BF" w:rsidRDefault="00DA3D09" w:rsidP="00DA3D09">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DA3D09">
              <w:rPr>
                <w:sz w:val="20"/>
                <w:szCs w:val="20"/>
                <w:lang w:val="en-GB"/>
              </w:rPr>
              <w:t>Proposals aimed at introducing clearer typologies, stronger local engagement, enhanced financial oversight, or more targeted operational measures were largely rejected on the grounds that the draft should remain flexible, that such issues are addressed by other instruments, or that they fall outside the scope of the Program.</w:t>
            </w:r>
          </w:p>
          <w:p w14:paraId="12294BFD" w14:textId="239BBB40" w:rsidR="00DA3D09" w:rsidRPr="002C702E" w:rsidRDefault="00DA3D09" w:rsidP="00DA3D09">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DA3D09">
              <w:rPr>
                <w:sz w:val="20"/>
                <w:szCs w:val="20"/>
                <w:lang w:val="en-GB"/>
              </w:rPr>
              <w:t xml:space="preserve"> Overall, this pattern indicates limited openness to incorporating external expertise into the core design of the policy document.</w:t>
            </w:r>
            <w:r w:rsidR="00D1166D">
              <w:rPr>
                <w:sz w:val="20"/>
                <w:szCs w:val="20"/>
                <w:lang w:val="en-GB"/>
              </w:rPr>
              <w:t xml:space="preserve"> </w:t>
            </w:r>
            <w:r w:rsidRPr="00DA3D09">
              <w:rPr>
                <w:sz w:val="20"/>
                <w:szCs w:val="20"/>
                <w:lang w:val="en-GB"/>
              </w:rPr>
              <w:t>As of March 2026, neither the Program nor the Action Plan has been adopted.</w:t>
            </w:r>
            <w:r w:rsidR="00D1166D">
              <w:rPr>
                <w:sz w:val="20"/>
                <w:szCs w:val="20"/>
                <w:lang w:val="en-GB"/>
              </w:rPr>
              <w:t xml:space="preserve"> </w:t>
            </w:r>
            <w:r w:rsidRPr="00DA3D09">
              <w:rPr>
                <w:sz w:val="20"/>
                <w:szCs w:val="20"/>
                <w:lang w:val="en-GB"/>
              </w:rPr>
              <w:t>The Ministry has stated that the Report on the Assessment of the Implementation of the National Strategy for the Prevention and Countering of Terrorism for the Period 2017–2021, along with its Action Plan, served as a basis for drafting the new Program, as did the Study on All Forms of Radicalisation and Violent Extremism in the Republic of Serbia. However, these documents have not been publicly available, making it impossible to verify their content and limiting opportunities for civil society to contribute to the process.</w:t>
            </w:r>
            <w:r w:rsidR="00D1166D">
              <w:rPr>
                <w:sz w:val="20"/>
                <w:szCs w:val="20"/>
                <w:lang w:val="en-GB"/>
              </w:rPr>
              <w:t xml:space="preserve"> </w:t>
            </w:r>
            <w:r w:rsidRPr="00DA3D09">
              <w:rPr>
                <w:sz w:val="20"/>
                <w:szCs w:val="20"/>
                <w:lang w:val="en-GB"/>
              </w:rPr>
              <w:t>The drafting process was supported by the OSCE Mission to Serbia.</w:t>
            </w:r>
          </w:p>
        </w:tc>
      </w:tr>
      <w:tr w:rsidR="00FB2868" w:rsidRPr="002C702E" w14:paraId="2E4ED374" w14:textId="77777777" w:rsidTr="0211F308">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3415784" w14:textId="1010718E"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3F66E7">
              <w:rPr>
                <w:rFonts w:ascii="Aptos" w:eastAsia="Times New Roman" w:hAnsi="Aptos" w:cs="Times New Roman"/>
                <w:kern w:val="0"/>
                <w:sz w:val="20"/>
                <w:szCs w:val="20"/>
                <w:lang w:val="en-GB" w:eastAsia="en-GB"/>
                <w14:ligatures w14:val="none"/>
              </w:rPr>
              <w:lastRenderedPageBreak/>
              <w:t>Analyse how key principles of RGF were respected in the reform step implementation</w:t>
            </w:r>
          </w:p>
        </w:tc>
        <w:tc>
          <w:tcPr>
            <w:tcW w:w="6753" w:type="dxa"/>
          </w:tcPr>
          <w:p w14:paraId="17E69CB6" w14:textId="77777777" w:rsidR="00FB2868"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How transparent has the reform step implementation been? How has civil society and the wider public been informed about it? What data and information, including key documents, have been made publicly available?</w:t>
            </w:r>
            <w:r>
              <w:rPr>
                <w:i/>
                <w:iCs/>
                <w:sz w:val="20"/>
                <w:szCs w:val="20"/>
                <w:lang w:val="en-GB"/>
              </w:rPr>
              <w:t xml:space="preserve"> </w:t>
            </w:r>
          </w:p>
          <w:p w14:paraId="51766DE9" w14:textId="04144374" w:rsidR="00FB2868"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Pr>
                <w:i/>
                <w:iCs/>
                <w:sz w:val="20"/>
                <w:szCs w:val="20"/>
                <w:lang w:val="en-GB"/>
              </w:rPr>
              <w:t>How inclusive was the implementation process? Has</w:t>
            </w:r>
            <w:r w:rsidRPr="002C702E">
              <w:rPr>
                <w:i/>
                <w:iCs/>
                <w:sz w:val="20"/>
                <w:szCs w:val="20"/>
                <w:lang w:val="en-GB"/>
              </w:rPr>
              <w:t xml:space="preserve">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52FAD172" w14:textId="3A0FA82D" w:rsidR="00FB2868" w:rsidRPr="002C702E"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6CC744E2" w14:textId="0830A89C" w:rsidR="00FB2868"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Please provide references wherever possible.</w:t>
            </w:r>
          </w:p>
          <w:p w14:paraId="70148FFD" w14:textId="77777777" w:rsidR="00503D1E" w:rsidRPr="00503D1E" w:rsidRDefault="00503D1E" w:rsidP="00503D1E">
            <w:pPr>
              <w:spacing w:before="120" w:after="120"/>
              <w:cnfStyle w:val="000000000000" w:firstRow="0" w:lastRow="0" w:firstColumn="0" w:lastColumn="0" w:oddVBand="0" w:evenVBand="0" w:oddHBand="0" w:evenHBand="0" w:firstRowFirstColumn="0" w:firstRowLastColumn="0" w:lastRowFirstColumn="0" w:lastRowLastColumn="0"/>
              <w:rPr>
                <w:b/>
                <w:bCs/>
                <w:sz w:val="20"/>
                <w:szCs w:val="20"/>
              </w:rPr>
            </w:pPr>
            <w:r w:rsidRPr="00503D1E">
              <w:rPr>
                <w:b/>
                <w:bCs/>
                <w:sz w:val="20"/>
                <w:szCs w:val="20"/>
              </w:rPr>
              <w:t>Transparency</w:t>
            </w:r>
          </w:p>
          <w:p w14:paraId="2289C010" w14:textId="470A8B6D" w:rsidR="00DA3D09" w:rsidRPr="00DA3D09" w:rsidRDefault="00DA3D09" w:rsidP="00DA3D0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DA3D09">
              <w:rPr>
                <w:sz w:val="20"/>
                <w:szCs w:val="20"/>
              </w:rPr>
              <w:lastRenderedPageBreak/>
              <w:t>Group was established by a ministerial decision; however, its work was not transparent, as no information was published on the discussions held or the decision-making process (Milestones 1–2). The draft Program and Action Plan were published on the e-Consultations Portal, and reports on the consultation and public debate were also made available (Milestone 6).</w:t>
            </w:r>
            <w:r w:rsidR="00D1166D">
              <w:rPr>
                <w:sz w:val="20"/>
                <w:szCs w:val="20"/>
              </w:rPr>
              <w:t xml:space="preserve"> H</w:t>
            </w:r>
            <w:r w:rsidRPr="00DA3D09">
              <w:rPr>
                <w:sz w:val="20"/>
                <w:szCs w:val="20"/>
              </w:rPr>
              <w:t xml:space="preserve">owever, the consultation window was unusually short (22–29 April 2025) and scheduled between Orthodox Easter and </w:t>
            </w:r>
            <w:proofErr w:type="spellStart"/>
            <w:r w:rsidRPr="00DA3D09">
              <w:rPr>
                <w:sz w:val="20"/>
                <w:szCs w:val="20"/>
              </w:rPr>
              <w:t>Labour</w:t>
            </w:r>
            <w:proofErr w:type="spellEnd"/>
            <w:r w:rsidRPr="00DA3D09">
              <w:rPr>
                <w:sz w:val="20"/>
                <w:szCs w:val="20"/>
              </w:rPr>
              <w:t xml:space="preserve"> Day, while the public debate (18 June–6 July 2025) took place during the summer period (Milestones 4–5), limiting visibility and opportunities for meaningful engagement. Although the Ministry stated that previous strategic assessment documents served as the analytical basis for the draft, these documents were not published, preventing external scrutiny.</w:t>
            </w:r>
          </w:p>
          <w:p w14:paraId="30EFCE6D" w14:textId="5F000B0F" w:rsidR="00DA3D09" w:rsidRPr="00503D1E" w:rsidRDefault="00E4219B" w:rsidP="00DA3D0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w:t>
            </w:r>
            <w:r w:rsidR="00DA3D09" w:rsidRPr="00DA3D09">
              <w:rPr>
                <w:sz w:val="20"/>
                <w:szCs w:val="20"/>
              </w:rPr>
              <w:t>n addition, while partial amendments were made following the single submission received, the updated consolidated version of the document was not published. As of March 2026, the Program has still not been adopted (Milestone 7), further limiting procedural clarity and predictability.</w:t>
            </w:r>
          </w:p>
          <w:p w14:paraId="094BBFB3" w14:textId="77777777" w:rsidR="00D973BF" w:rsidRDefault="00503D1E" w:rsidP="00DA3D09">
            <w:pPr>
              <w:spacing w:before="120" w:after="120"/>
              <w:cnfStyle w:val="000000000000" w:firstRow="0" w:lastRow="0" w:firstColumn="0" w:lastColumn="0" w:oddVBand="0" w:evenVBand="0" w:oddHBand="0" w:evenHBand="0" w:firstRowFirstColumn="0" w:firstRowLastColumn="0" w:lastRowFirstColumn="0" w:lastRowLastColumn="0"/>
              <w:rPr>
                <w:b/>
                <w:bCs/>
                <w:sz w:val="20"/>
                <w:szCs w:val="20"/>
              </w:rPr>
            </w:pPr>
            <w:r w:rsidRPr="00503D1E">
              <w:rPr>
                <w:b/>
                <w:bCs/>
                <w:sz w:val="20"/>
                <w:szCs w:val="20"/>
              </w:rPr>
              <w:t>Inclusivity</w:t>
            </w:r>
          </w:p>
          <w:p w14:paraId="35A90E0F" w14:textId="5AEB966F" w:rsidR="00D973BF" w:rsidRDefault="00DA3D09" w:rsidP="00DA3D0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DA3D09">
              <w:rPr>
                <w:sz w:val="20"/>
                <w:szCs w:val="20"/>
              </w:rPr>
              <w:t>Inclusivity was particularly limited. The Working Group consisted exclusively of representatives from state institutions, security bodies, and academia, with no participation from civil society. Public engagement mechanisms were formally in place but proved largely ineffective in practice: the short consultation period yielded no comments, while the public debate generated only one submission—from the Global Initiative against Transnational Organized Crime (GI-TOC)—containing seven general and four specific comments, none of which were fully accepted.</w:t>
            </w:r>
            <w:r w:rsidR="00D1166D">
              <w:rPr>
                <w:sz w:val="20"/>
                <w:szCs w:val="20"/>
              </w:rPr>
              <w:t xml:space="preserve"> </w:t>
            </w:r>
            <w:r w:rsidRPr="00DA3D09">
              <w:rPr>
                <w:sz w:val="20"/>
                <w:szCs w:val="20"/>
              </w:rPr>
              <w:t xml:space="preserve">Of the eleven comments submitted, four were only partially accepted, resulting primarily in minor textual additions rather than substantive policy changes. </w:t>
            </w:r>
          </w:p>
          <w:p w14:paraId="3C97E27C" w14:textId="64A3EA94" w:rsidR="00D973BF" w:rsidRDefault="00DA3D09" w:rsidP="00DA3D0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DA3D09">
              <w:rPr>
                <w:sz w:val="20"/>
                <w:szCs w:val="20"/>
              </w:rPr>
              <w:t>The Ministry’s responses largely defended the existing framework, rejecting proposals related to clearer typologies, stronger local engagement, enhanced financial oversight, and more targeted operational measures.</w:t>
            </w:r>
            <w:r w:rsidR="00D1166D">
              <w:rPr>
                <w:sz w:val="20"/>
                <w:szCs w:val="20"/>
              </w:rPr>
              <w:t xml:space="preserve"> </w:t>
            </w:r>
            <w:r w:rsidRPr="00DA3D09">
              <w:rPr>
                <w:sz w:val="20"/>
                <w:szCs w:val="20"/>
              </w:rPr>
              <w:t xml:space="preserve">The lack of proactive outreach, short consultation windows, scheduling during holiday periods, and the exclusion of civil society from the Working Group indicate that participation was largely formal rather than meaningful. </w:t>
            </w:r>
          </w:p>
          <w:p w14:paraId="33AA7B74" w14:textId="75042F4F" w:rsidR="00DA3D09" w:rsidRPr="00503D1E" w:rsidRDefault="00DA3D09" w:rsidP="00DA3D0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DA3D09">
              <w:rPr>
                <w:sz w:val="20"/>
                <w:szCs w:val="20"/>
              </w:rPr>
              <w:t>Overall, while the process complied procedurally with consultation requirements, it demonstrated limited openness to incorporating external expertise or fostering genuine multi-stakeholder ownership of the policy document.</w:t>
            </w:r>
          </w:p>
        </w:tc>
      </w:tr>
      <w:tr w:rsidR="00FB2868" w:rsidRPr="00042F7E" w14:paraId="6A2FA43D" w14:textId="77777777" w:rsidTr="0211F308">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112D977"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Public availability of evidence of implementation</w:t>
            </w:r>
          </w:p>
        </w:tc>
        <w:tc>
          <w:tcPr>
            <w:tcW w:w="6753" w:type="dxa"/>
          </w:tcPr>
          <w:p w14:paraId="6B2D7947"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Has the final source of verification (as per Reform Agenda) been made publicly available? If yes, please list the source (provide link) and date.</w:t>
            </w:r>
          </w:p>
          <w:p w14:paraId="7229B5E4" w14:textId="137D7F46" w:rsidR="00042F7E" w:rsidRPr="00042F7E" w:rsidRDefault="00042F7E">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042F7E">
              <w:rPr>
                <w:sz w:val="20"/>
                <w:szCs w:val="20"/>
                <w:lang w:val="en-GB"/>
              </w:rPr>
              <w:t>The final source of verification is not available, because the measure has not been implemented</w:t>
            </w:r>
            <w:r>
              <w:rPr>
                <w:sz w:val="20"/>
                <w:szCs w:val="20"/>
                <w:lang w:val="en-GB"/>
              </w:rPr>
              <w:t>.</w:t>
            </w:r>
          </w:p>
          <w:p w14:paraId="78FFD63E" w14:textId="77777777" w:rsidR="00042F7E" w:rsidRDefault="00042F7E" w:rsidP="00042F7E">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Publicly available documents:</w:t>
            </w:r>
          </w:p>
          <w:p w14:paraId="4C8ADFC8" w14:textId="2118624D" w:rsidR="00042F7E" w:rsidRPr="00C0370A" w:rsidRDefault="00042F7E" w:rsidP="00042F7E">
            <w:pPr>
              <w:pStyle w:val="ListParagraph"/>
              <w:numPr>
                <w:ilvl w:val="0"/>
                <w:numId w:val="6"/>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C0370A">
              <w:rPr>
                <w:sz w:val="20"/>
                <w:szCs w:val="20"/>
                <w:lang w:val="en-GB"/>
              </w:rPr>
              <w:t xml:space="preserve">Announcement of drafting the </w:t>
            </w:r>
            <w:r>
              <w:rPr>
                <w:sz w:val="20"/>
                <w:szCs w:val="20"/>
                <w:lang w:val="en-GB"/>
              </w:rPr>
              <w:t>Program and Action Plan</w:t>
            </w:r>
          </w:p>
          <w:p w14:paraId="58A276FC" w14:textId="089B17F0" w:rsidR="00042F7E" w:rsidRPr="00042F7E" w:rsidRDefault="00042F7E" w:rsidP="00042F7E">
            <w:pPr>
              <w:pStyle w:val="ListParagraph"/>
              <w:numPr>
                <w:ilvl w:val="0"/>
                <w:numId w:val="6"/>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Draft </w:t>
            </w:r>
            <w:r>
              <w:rPr>
                <w:sz w:val="20"/>
                <w:szCs w:val="20"/>
                <w:lang w:val="en-GB"/>
              </w:rPr>
              <w:t>Program and Action Plan for public consultations</w:t>
            </w:r>
          </w:p>
          <w:p w14:paraId="7D2701E4" w14:textId="7A7CFEF6" w:rsidR="00042F7E" w:rsidRPr="00042F7E" w:rsidRDefault="00042F7E" w:rsidP="00042F7E">
            <w:pPr>
              <w:pStyle w:val="ListParagraph"/>
              <w:numPr>
                <w:ilvl w:val="0"/>
                <w:numId w:val="6"/>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Draft </w:t>
            </w:r>
            <w:r>
              <w:rPr>
                <w:sz w:val="20"/>
                <w:szCs w:val="20"/>
                <w:lang w:val="en-GB"/>
              </w:rPr>
              <w:t>Program and Action Plan for public debate</w:t>
            </w:r>
          </w:p>
          <w:p w14:paraId="6BBB844D" w14:textId="77777777" w:rsidR="00042F7E" w:rsidRDefault="00042F7E" w:rsidP="00042F7E">
            <w:pPr>
              <w:pStyle w:val="ListParagraph"/>
              <w:numPr>
                <w:ilvl w:val="0"/>
                <w:numId w:val="6"/>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Form for submitting comments</w:t>
            </w:r>
          </w:p>
          <w:p w14:paraId="13CF6740" w14:textId="2E3AD00F" w:rsidR="00042F7E" w:rsidRDefault="00042F7E" w:rsidP="00042F7E">
            <w:pPr>
              <w:pStyle w:val="ListParagraph"/>
              <w:numPr>
                <w:ilvl w:val="0"/>
                <w:numId w:val="6"/>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Reports on the conducted public consultations and public debate</w:t>
            </w:r>
          </w:p>
          <w:p w14:paraId="16B8BDAC" w14:textId="77777777" w:rsidR="00042F7E" w:rsidRDefault="00042F7E" w:rsidP="00042F7E">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Links: </w:t>
            </w:r>
          </w:p>
          <w:p w14:paraId="48512489" w14:textId="6FEA1781" w:rsidR="00042F7E" w:rsidRDefault="00042F7E" w:rsidP="00042F7E">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lastRenderedPageBreak/>
              <w:t xml:space="preserve">e-Consultations portal </w:t>
            </w:r>
            <w:hyperlink r:id="rId8" w:history="1">
              <w:r w:rsidRPr="00042F7E">
                <w:rPr>
                  <w:rStyle w:val="Hyperlink"/>
                  <w:sz w:val="20"/>
                  <w:szCs w:val="20"/>
                </w:rPr>
                <w:t>https://ekonsultacije.gov.rs/topicOfDiscussionPage/457/3</w:t>
              </w:r>
            </w:hyperlink>
            <w:r w:rsidRPr="00042F7E">
              <w:rPr>
                <w:sz w:val="20"/>
                <w:szCs w:val="20"/>
              </w:rPr>
              <w:t xml:space="preserve"> </w:t>
            </w:r>
            <w:r w:rsidRPr="00AA7AB5">
              <w:rPr>
                <w:sz w:val="20"/>
                <w:szCs w:val="20"/>
              </w:rPr>
              <w:t>(last accessed 2</w:t>
            </w:r>
            <w:r>
              <w:rPr>
                <w:sz w:val="20"/>
                <w:szCs w:val="20"/>
              </w:rPr>
              <w:t>8</w:t>
            </w:r>
            <w:r w:rsidRPr="00AA7AB5">
              <w:rPr>
                <w:sz w:val="20"/>
                <w:szCs w:val="20"/>
              </w:rPr>
              <w:t>/02/2026)</w:t>
            </w:r>
          </w:p>
          <w:p w14:paraId="6BF36652" w14:textId="49EEB9A9" w:rsidR="00042F7E" w:rsidRPr="00042F7E" w:rsidRDefault="00042F7E" w:rsidP="00042F7E">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roofErr w:type="spellStart"/>
            <w:r w:rsidRPr="00042F7E">
              <w:rPr>
                <w:sz w:val="20"/>
                <w:szCs w:val="20"/>
              </w:rPr>
              <w:t>MoI</w:t>
            </w:r>
            <w:proofErr w:type="spellEnd"/>
            <w:r w:rsidRPr="00042F7E">
              <w:rPr>
                <w:sz w:val="20"/>
                <w:szCs w:val="20"/>
              </w:rPr>
              <w:t xml:space="preserve"> website, Strategies</w:t>
            </w:r>
          </w:p>
          <w:p w14:paraId="497D6244" w14:textId="2CBDA239" w:rsidR="00FB2868" w:rsidRPr="00042F7E" w:rsidRDefault="00042F7E" w:rsidP="00042F7E">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hyperlink r:id="rId9" w:history="1">
              <w:r w:rsidRPr="00042F7E">
                <w:rPr>
                  <w:rStyle w:val="Hyperlink"/>
                  <w:sz w:val="20"/>
                  <w:szCs w:val="20"/>
                </w:rPr>
                <w:t>https://www.mup.gov.rs/wps/portal/sr/dokumenti/Strategije</w:t>
              </w:r>
            </w:hyperlink>
          </w:p>
        </w:tc>
      </w:tr>
      <w:tr w:rsidR="00FB2868" w:rsidRPr="002C702E" w14:paraId="0CE52068" w14:textId="77777777" w:rsidTr="0211F308">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3487390"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 quality of the final output of the reform step</w:t>
            </w:r>
          </w:p>
        </w:tc>
        <w:tc>
          <w:tcPr>
            <w:tcW w:w="6753" w:type="dxa"/>
          </w:tcPr>
          <w:p w14:paraId="3D865BAA"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To what extent does the final output of this reform step respect the applicable EU membership requirements/principles/standards? </w:t>
            </w:r>
          </w:p>
          <w:p w14:paraId="13410759" w14:textId="3BD26CBB" w:rsidR="00477C4C" w:rsidRDefault="00477C4C" w:rsidP="00477C4C">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77C4C">
              <w:rPr>
                <w:sz w:val="20"/>
                <w:szCs w:val="20"/>
              </w:rPr>
              <w:t xml:space="preserve">Since the Program and </w:t>
            </w:r>
            <w:r w:rsidR="009336BA">
              <w:rPr>
                <w:sz w:val="20"/>
                <w:szCs w:val="20"/>
              </w:rPr>
              <w:t xml:space="preserve">its </w:t>
            </w:r>
            <w:r w:rsidRPr="00477C4C">
              <w:rPr>
                <w:sz w:val="20"/>
                <w:szCs w:val="20"/>
              </w:rPr>
              <w:t>Action Plan have not been adopted yet, nor has the updated version been published after the public debate, we can only comment on the version provided for the public debate, along with accepted/rejected comments listed in the Report on the conducted public debate.</w:t>
            </w:r>
          </w:p>
          <w:p w14:paraId="74F55EE6" w14:textId="3475854A" w:rsidR="00D973BF" w:rsidRDefault="00DA3D09" w:rsidP="00DA3D0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DA3D09">
              <w:rPr>
                <w:sz w:val="20"/>
                <w:szCs w:val="20"/>
              </w:rPr>
              <w:t>The Draft Program and Action Plan establish a formally aligned and technically structured framework, but their overall effectiveness will depend on resource commitment, genuine multi-stakeholder engagement, and stronger institutional guarantees for rights-based implementation.</w:t>
            </w:r>
            <w:r w:rsidR="0065398A">
              <w:rPr>
                <w:sz w:val="20"/>
                <w:szCs w:val="20"/>
              </w:rPr>
              <w:t xml:space="preserve"> </w:t>
            </w:r>
            <w:r w:rsidRPr="00DA3D09">
              <w:rPr>
                <w:sz w:val="20"/>
                <w:szCs w:val="20"/>
              </w:rPr>
              <w:t>Taken together, the Draft Program and its accompanying Action Plan provide a structurally coherent and EU-aligned framework for preventing and countering terrorism and violent extremism in Serbia. The Draft Program sets out a comprehensive strategic vision built around prevention, protection, response, and institutional coordination, while the Action Plan translates these priorities into defined measures, responsible institutions, timelines, and reporting obligations. The inclusion of a National Coordination Body, periodic reporting requirements, risk assessment mechanisms, strategic communication measures, and the development of a national response and victim-support plan demonstrates a clear effort to operationalize the policy framework. The documents are broadly aligned with EU and Council of Europe standards, particularly in their references to human rights, the rule of law, international cooperation, and victim protection.</w:t>
            </w:r>
          </w:p>
          <w:p w14:paraId="617D7337" w14:textId="251227B1" w:rsidR="00DA3D09" w:rsidRDefault="00DA3D09" w:rsidP="00DA3D0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DA3D09">
              <w:rPr>
                <w:sz w:val="20"/>
                <w:szCs w:val="20"/>
              </w:rPr>
              <w:t>However, important limitations remain. While the strategic architecture is solid, many measures are programmatic or output-oriented rather than impact-driven, with a limited number of outcome indicators to assess effectiveness. Budget allocations are often unclear or insufficiently detailed, and several activities are scheduled for the later stages of implementation, raising concerns about feasibility and prioritization. Due to delays in the adoption of both documents, the first year of the Action Plan has already elapsed, further compressing implementation timelines.</w:t>
            </w:r>
            <w:r w:rsidR="0065398A">
              <w:rPr>
                <w:sz w:val="20"/>
                <w:szCs w:val="20"/>
              </w:rPr>
              <w:t xml:space="preserve"> </w:t>
            </w:r>
            <w:r w:rsidRPr="00DA3D09">
              <w:rPr>
                <w:sz w:val="20"/>
                <w:szCs w:val="20"/>
              </w:rPr>
              <w:t>Moreover, although human rights principles are consistently referenced, the documents do not equally operationalize mechanisms for independent oversight, accountability, or safeguards against the potential misuse of counter-terrorism powers.</w:t>
            </w:r>
          </w:p>
          <w:p w14:paraId="44127EB1" w14:textId="4DCFBA9E" w:rsidR="00DA3D09" w:rsidRPr="00DA3D09" w:rsidRDefault="00DA3D09" w:rsidP="00DA3D0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DA3D09">
              <w:rPr>
                <w:sz w:val="20"/>
                <w:szCs w:val="20"/>
              </w:rPr>
              <w:t xml:space="preserve">The comments received during the public debate focused on strengthening the analytical depth and operational precision of the Program and Action Plan. The Global Initiative against Transnational Organized Crime (GI-TOC) called for clearer differentiation between ideological forms of violent extremism and better alignment of specific measures with identified threat typologies. It also emphasized the need to more explicitly address links between violent extremism and </w:t>
            </w:r>
            <w:proofErr w:type="spellStart"/>
            <w:r w:rsidRPr="00DA3D09">
              <w:rPr>
                <w:sz w:val="20"/>
                <w:szCs w:val="20"/>
              </w:rPr>
              <w:t>organised</w:t>
            </w:r>
            <w:proofErr w:type="spellEnd"/>
            <w:r w:rsidRPr="00DA3D09">
              <w:rPr>
                <w:sz w:val="20"/>
                <w:szCs w:val="20"/>
              </w:rPr>
              <w:t xml:space="preserve"> crime, adopt more targeted approaches to foreign terrorist fighters and individuals with military training, and enhance attention to extremist financing (including cash flows, cryptocurrencies, NGOs, and sports structures). Additional recommendations included greater involvement of local communities and </w:t>
            </w:r>
            <w:r w:rsidRPr="00DA3D09">
              <w:rPr>
                <w:sz w:val="20"/>
                <w:szCs w:val="20"/>
              </w:rPr>
              <w:lastRenderedPageBreak/>
              <w:t xml:space="preserve">civil society, as well as strengthened operational capacities to address digital </w:t>
            </w:r>
            <w:proofErr w:type="spellStart"/>
            <w:r w:rsidRPr="00DA3D09">
              <w:rPr>
                <w:sz w:val="20"/>
                <w:szCs w:val="20"/>
              </w:rPr>
              <w:t>radicalisation</w:t>
            </w:r>
            <w:proofErr w:type="spellEnd"/>
            <w:r w:rsidRPr="00DA3D09">
              <w:rPr>
                <w:sz w:val="20"/>
                <w:szCs w:val="20"/>
              </w:rPr>
              <w:t>. Overall, these proposals aimed to make the framework more risk-based, differentiated, and context-sensitive.</w:t>
            </w:r>
          </w:p>
          <w:p w14:paraId="6A0BBD31" w14:textId="5A74B77E" w:rsidR="00DA3D09" w:rsidRPr="00DA3D09" w:rsidRDefault="00DA3D09" w:rsidP="00DA3D0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DA3D09">
              <w:rPr>
                <w:sz w:val="20"/>
                <w:szCs w:val="20"/>
              </w:rPr>
              <w:t xml:space="preserve">In response, the Ministry partially accepted only those proposals requiring limited analytical clarification—such as acknowledging certain security risks (e.g. foreign terrorist fighters or occasional links with </w:t>
            </w:r>
            <w:proofErr w:type="spellStart"/>
            <w:r w:rsidRPr="00DA3D09">
              <w:rPr>
                <w:sz w:val="20"/>
                <w:szCs w:val="20"/>
              </w:rPr>
              <w:t>organised</w:t>
            </w:r>
            <w:proofErr w:type="spellEnd"/>
            <w:r w:rsidRPr="00DA3D09">
              <w:rPr>
                <w:sz w:val="20"/>
                <w:szCs w:val="20"/>
              </w:rPr>
              <w:t xml:space="preserve"> crime) within the descriptive sections of the Program. However, it rejected suggestions that would have required introducing new targeted measures, revising strategic assumptions, or expanding regulatory mechanisms. Proposals related to financial oversight were dismissed with reference to existing FATF-aligned frameworks; issues such as hooliganism were considered outside the scope of the strategy; and additional measures related to </w:t>
            </w:r>
            <w:hyperlink r:id="rId10" w:history="1">
              <w:r w:rsidRPr="00E4219B">
                <w:rPr>
                  <w:rStyle w:val="Hyperlink"/>
                  <w:sz w:val="20"/>
                  <w:szCs w:val="20"/>
                </w:rPr>
                <w:t xml:space="preserve">digital </w:t>
              </w:r>
              <w:proofErr w:type="spellStart"/>
              <w:r w:rsidRPr="00E4219B">
                <w:rPr>
                  <w:rStyle w:val="Hyperlink"/>
                  <w:sz w:val="20"/>
                  <w:szCs w:val="20"/>
                </w:rPr>
                <w:t>radicalisation</w:t>
              </w:r>
              <w:proofErr w:type="spellEnd"/>
            </w:hyperlink>
            <w:r w:rsidRPr="00DA3D09">
              <w:rPr>
                <w:sz w:val="20"/>
                <w:szCs w:val="20"/>
              </w:rPr>
              <w:t xml:space="preserve"> or local governance were deemed already covered by existing </w:t>
            </w:r>
            <w:hyperlink r:id="rId11" w:history="1">
              <w:r w:rsidRPr="00E4219B">
                <w:rPr>
                  <w:rStyle w:val="Hyperlink"/>
                  <w:sz w:val="20"/>
                  <w:szCs w:val="20"/>
                </w:rPr>
                <w:t>institutional arrangements</w:t>
              </w:r>
            </w:hyperlink>
            <w:r w:rsidRPr="00DA3D09">
              <w:rPr>
                <w:sz w:val="20"/>
                <w:szCs w:val="20"/>
              </w:rPr>
              <w:t>. As a result, the public debate led to only limited substantive adjustments, with the final framework remaining largely unchanged in its operational design.</w:t>
            </w:r>
          </w:p>
          <w:p w14:paraId="632DE3FB" w14:textId="6E4420A5" w:rsidR="00DA3D09" w:rsidRPr="00DA3D09" w:rsidRDefault="00DA3D09" w:rsidP="00DA3D0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DA3D09">
              <w:rPr>
                <w:sz w:val="20"/>
                <w:szCs w:val="20"/>
              </w:rPr>
              <w:t xml:space="preserve">A more serious concern relates to the broader political and institutional context. In such an environment, where the ruling party itself is perceived by some stakeholders as exhibiting characteristics associated with anti-systemic extremism—such as unconstitutional conduct, a nationalist-authoritarian discourse, </w:t>
            </w:r>
            <w:proofErr w:type="spellStart"/>
            <w:r w:rsidRPr="00DA3D09">
              <w:rPr>
                <w:sz w:val="20"/>
                <w:szCs w:val="20"/>
              </w:rPr>
              <w:t>delegitimisation</w:t>
            </w:r>
            <w:proofErr w:type="spellEnd"/>
            <w:r w:rsidRPr="00DA3D09">
              <w:rPr>
                <w:sz w:val="20"/>
                <w:szCs w:val="20"/>
              </w:rPr>
              <w:t xml:space="preserve"> of pluralism, and tolerance or </w:t>
            </w:r>
            <w:proofErr w:type="spellStart"/>
            <w:r w:rsidRPr="00DA3D09">
              <w:rPr>
                <w:sz w:val="20"/>
                <w:szCs w:val="20"/>
              </w:rPr>
              <w:t>normalisation</w:t>
            </w:r>
            <w:proofErr w:type="spellEnd"/>
            <w:r w:rsidRPr="00DA3D09">
              <w:rPr>
                <w:sz w:val="20"/>
                <w:szCs w:val="20"/>
              </w:rPr>
              <w:t xml:space="preserve"> of violence against government critics—efforts to address violent extremism face significant challenges. Reports have also pointed to the </w:t>
            </w:r>
            <w:proofErr w:type="spellStart"/>
            <w:r w:rsidRPr="00DA3D09">
              <w:rPr>
                <w:sz w:val="20"/>
                <w:szCs w:val="20"/>
              </w:rPr>
              <w:t>mobilisation</w:t>
            </w:r>
            <w:proofErr w:type="spellEnd"/>
            <w:r w:rsidRPr="00DA3D09">
              <w:rPr>
                <w:sz w:val="20"/>
                <w:szCs w:val="20"/>
              </w:rPr>
              <w:t xml:space="preserve"> of paramilitary and hooligan structures and their alleged impunity, as well as the continued presence of a loyalist camp near key state institutions despite regulatory prohibitions.</w:t>
            </w:r>
          </w:p>
          <w:p w14:paraId="0D94E990" w14:textId="4AB055C8" w:rsidR="00DA3D09" w:rsidRDefault="00DA3D09" w:rsidP="00DA3D0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DA3D09">
              <w:rPr>
                <w:sz w:val="20"/>
                <w:szCs w:val="20"/>
              </w:rPr>
              <w:t xml:space="preserve">In this context, rather than consistently preventing and prosecuting violence, some stakeholders argue that institutional actors have not always acted with sufficient independence, which undermines confidence in the ability to address key drivers of violent extremism. Consequently, the </w:t>
            </w:r>
            <w:hyperlink r:id="rId12" w:history="1">
              <w:r w:rsidRPr="00E4219B">
                <w:rPr>
                  <w:rStyle w:val="Hyperlink"/>
                  <w:sz w:val="20"/>
                  <w:szCs w:val="20"/>
                </w:rPr>
                <w:t>effectiveness</w:t>
              </w:r>
            </w:hyperlink>
            <w:r w:rsidRPr="00DA3D09">
              <w:rPr>
                <w:sz w:val="20"/>
                <w:szCs w:val="20"/>
              </w:rPr>
              <w:t xml:space="preserve"> of new strategic documents depends not only on their design but also on the broader commitment to impartial implementation and the rule of law. Without such conditions, there is a risk that these documents remain largely formal exercises with limited practical impact.</w:t>
            </w:r>
          </w:p>
          <w:p w14:paraId="5A3FE7B6" w14:textId="77777777" w:rsidR="00DA3D09" w:rsidRPr="00477C4C" w:rsidRDefault="00DA3D09" w:rsidP="00DA3D0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
          <w:p w14:paraId="13F72F7A" w14:textId="679CACA2" w:rsidR="00FB2868" w:rsidRPr="00477C4C" w:rsidRDefault="00FB2868" w:rsidP="00E4219B">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
        </w:tc>
      </w:tr>
    </w:tbl>
    <w:p w14:paraId="5270FB5A" w14:textId="77777777" w:rsidR="00FB2868" w:rsidRPr="002C702E" w:rsidRDefault="00FB2868" w:rsidP="00FB2868">
      <w:pPr>
        <w:pStyle w:val="Heading1"/>
        <w:numPr>
          <w:ilvl w:val="0"/>
          <w:numId w:val="1"/>
        </w:numPr>
        <w:rPr>
          <w:lang w:val="en-GB"/>
        </w:rPr>
      </w:pPr>
      <w:r w:rsidRPr="002C702E">
        <w:rPr>
          <w:lang w:val="en-GB"/>
        </w:rPr>
        <w:lastRenderedPageBreak/>
        <w:t>Final assessment</w:t>
      </w:r>
    </w:p>
    <w:p w14:paraId="5367853C" w14:textId="77777777" w:rsidR="00FB2868" w:rsidRPr="002C702E"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2C702E" w14:paraId="11AF1513" w14:textId="77777777" w:rsidTr="0211F308">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56F2AF5" w14:textId="636D8B45" w:rsidR="00FB2868" w:rsidRPr="002C702E" w:rsidRDefault="00FB2868">
            <w:pPr>
              <w:spacing w:before="60" w:after="60"/>
              <w:rPr>
                <w:sz w:val="20"/>
                <w:szCs w:val="20"/>
                <w:lang w:val="en-GB"/>
              </w:rPr>
            </w:pPr>
            <w:r w:rsidRPr="002C702E">
              <w:rPr>
                <w:sz w:val="20"/>
                <w:szCs w:val="20"/>
                <w:lang w:val="en-GB"/>
              </w:rPr>
              <w:t>Assess formal achievement</w:t>
            </w:r>
          </w:p>
        </w:tc>
        <w:tc>
          <w:tcPr>
            <w:tcW w:w="6753" w:type="dxa"/>
          </w:tcPr>
          <w:p w14:paraId="463F9E77"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C702E">
              <w:rPr>
                <w:b/>
                <w:bCs/>
                <w:sz w:val="20"/>
                <w:szCs w:val="20"/>
                <w:lang w:val="en-GB"/>
              </w:rPr>
              <w:t>Not achieved</w:t>
            </w:r>
          </w:p>
        </w:tc>
      </w:tr>
      <w:tr w:rsidR="00FB2868" w:rsidRPr="002C702E" w14:paraId="5CFEC064" w14:textId="77777777" w:rsidTr="0211F308">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4C82537" w14:textId="77777777" w:rsidR="00FB2868" w:rsidRPr="002C702E" w:rsidRDefault="00FB2868">
            <w:pPr>
              <w:spacing w:before="60" w:after="60"/>
              <w:rPr>
                <w:sz w:val="20"/>
                <w:szCs w:val="20"/>
                <w:lang w:val="en-GB"/>
              </w:rPr>
            </w:pPr>
            <w:r w:rsidRPr="002C702E">
              <w:rPr>
                <w:sz w:val="20"/>
                <w:szCs w:val="20"/>
                <w:lang w:val="en-GB"/>
              </w:rPr>
              <w:t>Elaboration of final assessment</w:t>
            </w:r>
          </w:p>
        </w:tc>
        <w:tc>
          <w:tcPr>
            <w:tcW w:w="6753" w:type="dxa"/>
          </w:tcPr>
          <w:p w14:paraId="2CE4B4F4" w14:textId="1B8740D3" w:rsidR="00FB2868" w:rsidRPr="003E583F" w:rsidRDefault="138F739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211F308">
              <w:rPr>
                <w:sz w:val="20"/>
                <w:szCs w:val="20"/>
                <w:lang w:val="en-GB"/>
              </w:rPr>
              <w:t xml:space="preserve">Out of the 8 </w:t>
            </w:r>
            <w:r w:rsidR="00EC34EC">
              <w:rPr>
                <w:sz w:val="20"/>
                <w:szCs w:val="20"/>
                <w:lang w:val="en-GB"/>
              </w:rPr>
              <w:t>milestones</w:t>
            </w:r>
            <w:r w:rsidRPr="0211F308">
              <w:rPr>
                <w:sz w:val="20"/>
                <w:szCs w:val="20"/>
                <w:lang w:val="en-GB"/>
              </w:rPr>
              <w:t xml:space="preserve">, two have not been implemented. </w:t>
            </w:r>
            <w:r w:rsidR="2FF6DABF" w:rsidRPr="0211F308">
              <w:rPr>
                <w:sz w:val="20"/>
                <w:szCs w:val="20"/>
                <w:lang w:val="en-GB"/>
              </w:rPr>
              <w:t xml:space="preserve">The steps taken followed the </w:t>
            </w:r>
            <w:r w:rsidR="7A19E2A0" w:rsidRPr="0211F308">
              <w:rPr>
                <w:sz w:val="20"/>
                <w:szCs w:val="20"/>
                <w:lang w:val="en-GB"/>
              </w:rPr>
              <w:t xml:space="preserve">formal </w:t>
            </w:r>
            <w:r w:rsidR="2FF6DABF" w:rsidRPr="0211F308">
              <w:rPr>
                <w:sz w:val="20"/>
                <w:szCs w:val="20"/>
                <w:lang w:val="en-GB"/>
              </w:rPr>
              <w:t xml:space="preserve">procedural rules, although transparency and inclusivity did not meet </w:t>
            </w:r>
            <w:r w:rsidR="7A19E2A0" w:rsidRPr="0211F308">
              <w:rPr>
                <w:sz w:val="20"/>
                <w:szCs w:val="20"/>
                <w:lang w:val="en-GB"/>
              </w:rPr>
              <w:t xml:space="preserve">higher quality </w:t>
            </w:r>
            <w:r w:rsidR="2FF6DABF" w:rsidRPr="0211F308">
              <w:rPr>
                <w:sz w:val="20"/>
                <w:szCs w:val="20"/>
                <w:lang w:val="en-GB"/>
              </w:rPr>
              <w:t>standards</w:t>
            </w:r>
            <w:r w:rsidR="531FD8D7" w:rsidRPr="0211F308">
              <w:rPr>
                <w:sz w:val="20"/>
                <w:szCs w:val="20"/>
                <w:lang w:val="en-GB"/>
              </w:rPr>
              <w:t xml:space="preserve"> and they seem as conducted </w:t>
            </w:r>
            <w:r w:rsidR="531FD8D7" w:rsidRPr="0211F308">
              <w:rPr>
                <w:i/>
                <w:iCs/>
                <w:sz w:val="20"/>
                <w:szCs w:val="20"/>
                <w:lang w:val="en-GB"/>
              </w:rPr>
              <w:t>pro forma</w:t>
            </w:r>
            <w:r w:rsidR="2FF6DABF" w:rsidRPr="0211F308">
              <w:rPr>
                <w:sz w:val="20"/>
                <w:szCs w:val="20"/>
                <w:lang w:val="en-GB"/>
              </w:rPr>
              <w:t xml:space="preserve">. </w:t>
            </w:r>
            <w:r w:rsidR="2FFD97D1" w:rsidRPr="0211F308">
              <w:rPr>
                <w:sz w:val="20"/>
                <w:szCs w:val="20"/>
                <w:lang w:val="en-GB"/>
              </w:rPr>
              <w:t xml:space="preserve">We therefore consider this reform step as </w:t>
            </w:r>
            <w:r w:rsidR="2FFD97D1" w:rsidRPr="00993510">
              <w:rPr>
                <w:b/>
                <w:bCs/>
                <w:sz w:val="20"/>
                <w:szCs w:val="20"/>
                <w:lang w:val="en-GB"/>
              </w:rPr>
              <w:t>not achieved.</w:t>
            </w:r>
            <w:r w:rsidR="2FFD97D1" w:rsidRPr="0211F308">
              <w:rPr>
                <w:sz w:val="20"/>
                <w:szCs w:val="20"/>
                <w:lang w:val="en-GB"/>
              </w:rPr>
              <w:t xml:space="preserve"> </w:t>
            </w:r>
          </w:p>
        </w:tc>
      </w:tr>
    </w:tbl>
    <w:p w14:paraId="2DA42CB6" w14:textId="77777777" w:rsidR="003B6E3A" w:rsidRDefault="003B6E3A" w:rsidP="00DD7F73"/>
    <w:sectPr w:rsidR="003B6E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215E7" w14:textId="77777777" w:rsidR="00F94E65" w:rsidRDefault="00F94E65" w:rsidP="00FB2868">
      <w:r>
        <w:separator/>
      </w:r>
    </w:p>
  </w:endnote>
  <w:endnote w:type="continuationSeparator" w:id="0">
    <w:p w14:paraId="5E698995" w14:textId="77777777" w:rsidR="00F94E65" w:rsidRDefault="00F94E65" w:rsidP="00FB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8A1F2" w14:textId="77777777" w:rsidR="00F94E65" w:rsidRDefault="00F94E65" w:rsidP="00FB2868">
      <w:r>
        <w:separator/>
      </w:r>
    </w:p>
  </w:footnote>
  <w:footnote w:type="continuationSeparator" w:id="0">
    <w:p w14:paraId="7A87FD8C" w14:textId="77777777" w:rsidR="00F94E65" w:rsidRDefault="00F94E65" w:rsidP="00FB2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70F451C"/>
    <w:multiLevelType w:val="hybridMultilevel"/>
    <w:tmpl w:val="72105BA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16cid:durableId="1209074005">
    <w:abstractNumId w:val="1"/>
  </w:num>
  <w:num w:numId="2" w16cid:durableId="1811746263">
    <w:abstractNumId w:val="2"/>
  </w:num>
  <w:num w:numId="3" w16cid:durableId="732585498">
    <w:abstractNumId w:val="3"/>
  </w:num>
  <w:num w:numId="4" w16cid:durableId="368259940">
    <w:abstractNumId w:val="4"/>
  </w:num>
  <w:num w:numId="5" w16cid:durableId="458231703">
    <w:abstractNumId w:val="5"/>
  </w:num>
  <w:num w:numId="6" w16cid:durableId="1390301576">
    <w:abstractNumId w:val="0"/>
  </w:num>
  <w:num w:numId="7" w16cid:durableId="13585846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868"/>
    <w:rsid w:val="000044ED"/>
    <w:rsid w:val="00015EAC"/>
    <w:rsid w:val="00042F7E"/>
    <w:rsid w:val="00054111"/>
    <w:rsid w:val="00072AEE"/>
    <w:rsid w:val="00082839"/>
    <w:rsid w:val="00090FF7"/>
    <w:rsid w:val="00093CB6"/>
    <w:rsid w:val="000A6C0C"/>
    <w:rsid w:val="000C7B18"/>
    <w:rsid w:val="000F4C03"/>
    <w:rsid w:val="00100454"/>
    <w:rsid w:val="00102A32"/>
    <w:rsid w:val="00110B7F"/>
    <w:rsid w:val="0012698A"/>
    <w:rsid w:val="001411F6"/>
    <w:rsid w:val="00174397"/>
    <w:rsid w:val="001A4410"/>
    <w:rsid w:val="001C0599"/>
    <w:rsid w:val="001C19BC"/>
    <w:rsid w:val="001D1961"/>
    <w:rsid w:val="001E374C"/>
    <w:rsid w:val="001E6432"/>
    <w:rsid w:val="002106F1"/>
    <w:rsid w:val="00214997"/>
    <w:rsid w:val="0022658B"/>
    <w:rsid w:val="002535AE"/>
    <w:rsid w:val="002567E5"/>
    <w:rsid w:val="00257136"/>
    <w:rsid w:val="002707B4"/>
    <w:rsid w:val="00272F80"/>
    <w:rsid w:val="002816FF"/>
    <w:rsid w:val="002A7236"/>
    <w:rsid w:val="002F5301"/>
    <w:rsid w:val="00303197"/>
    <w:rsid w:val="00304D95"/>
    <w:rsid w:val="00312CCC"/>
    <w:rsid w:val="00312E5B"/>
    <w:rsid w:val="00395DBC"/>
    <w:rsid w:val="003A3908"/>
    <w:rsid w:val="003B6E3A"/>
    <w:rsid w:val="003C1630"/>
    <w:rsid w:val="003D639C"/>
    <w:rsid w:val="003E38DB"/>
    <w:rsid w:val="003F331A"/>
    <w:rsid w:val="003F66E7"/>
    <w:rsid w:val="00403717"/>
    <w:rsid w:val="004204E6"/>
    <w:rsid w:val="004332F5"/>
    <w:rsid w:val="004359FB"/>
    <w:rsid w:val="00447C66"/>
    <w:rsid w:val="0047089F"/>
    <w:rsid w:val="00477C4C"/>
    <w:rsid w:val="00480A29"/>
    <w:rsid w:val="00495151"/>
    <w:rsid w:val="004B43CE"/>
    <w:rsid w:val="004E2298"/>
    <w:rsid w:val="004E553C"/>
    <w:rsid w:val="004F6EF6"/>
    <w:rsid w:val="00503D1E"/>
    <w:rsid w:val="0050598D"/>
    <w:rsid w:val="0055284D"/>
    <w:rsid w:val="005759AE"/>
    <w:rsid w:val="005B0381"/>
    <w:rsid w:val="005C0179"/>
    <w:rsid w:val="005C6F48"/>
    <w:rsid w:val="00604C42"/>
    <w:rsid w:val="00614FBB"/>
    <w:rsid w:val="0062353F"/>
    <w:rsid w:val="0064198A"/>
    <w:rsid w:val="00653595"/>
    <w:rsid w:val="0065398A"/>
    <w:rsid w:val="006829AE"/>
    <w:rsid w:val="00683F6B"/>
    <w:rsid w:val="0069713F"/>
    <w:rsid w:val="006A665D"/>
    <w:rsid w:val="007025C2"/>
    <w:rsid w:val="007111B4"/>
    <w:rsid w:val="0071162E"/>
    <w:rsid w:val="00713C74"/>
    <w:rsid w:val="0072078A"/>
    <w:rsid w:val="00762E04"/>
    <w:rsid w:val="007C5D38"/>
    <w:rsid w:val="007D5DBC"/>
    <w:rsid w:val="007D7908"/>
    <w:rsid w:val="007E2958"/>
    <w:rsid w:val="007E2997"/>
    <w:rsid w:val="007F53FC"/>
    <w:rsid w:val="00806048"/>
    <w:rsid w:val="008160FC"/>
    <w:rsid w:val="00827F29"/>
    <w:rsid w:val="00866CB2"/>
    <w:rsid w:val="00873647"/>
    <w:rsid w:val="00882A21"/>
    <w:rsid w:val="00893A2D"/>
    <w:rsid w:val="008A6542"/>
    <w:rsid w:val="008C7BDA"/>
    <w:rsid w:val="008D7865"/>
    <w:rsid w:val="008F0415"/>
    <w:rsid w:val="00915DE1"/>
    <w:rsid w:val="009336BA"/>
    <w:rsid w:val="00945BDE"/>
    <w:rsid w:val="00954600"/>
    <w:rsid w:val="00986FB2"/>
    <w:rsid w:val="00993510"/>
    <w:rsid w:val="009B646D"/>
    <w:rsid w:val="009C7887"/>
    <w:rsid w:val="009F0523"/>
    <w:rsid w:val="00A458A2"/>
    <w:rsid w:val="00A50397"/>
    <w:rsid w:val="00A55927"/>
    <w:rsid w:val="00A866AB"/>
    <w:rsid w:val="00A86F6B"/>
    <w:rsid w:val="00A93A36"/>
    <w:rsid w:val="00A95F8A"/>
    <w:rsid w:val="00AD0773"/>
    <w:rsid w:val="00AD2430"/>
    <w:rsid w:val="00AD4916"/>
    <w:rsid w:val="00AE5EDF"/>
    <w:rsid w:val="00AE72C5"/>
    <w:rsid w:val="00AF3CD2"/>
    <w:rsid w:val="00B21CF8"/>
    <w:rsid w:val="00B36266"/>
    <w:rsid w:val="00B45B4D"/>
    <w:rsid w:val="00B524A0"/>
    <w:rsid w:val="00B57961"/>
    <w:rsid w:val="00B75112"/>
    <w:rsid w:val="00B81368"/>
    <w:rsid w:val="00BD584C"/>
    <w:rsid w:val="00BF0B27"/>
    <w:rsid w:val="00BF3ABC"/>
    <w:rsid w:val="00BF3EDB"/>
    <w:rsid w:val="00C3194B"/>
    <w:rsid w:val="00C40826"/>
    <w:rsid w:val="00C41764"/>
    <w:rsid w:val="00C4238A"/>
    <w:rsid w:val="00CA3527"/>
    <w:rsid w:val="00CB35C9"/>
    <w:rsid w:val="00D0298E"/>
    <w:rsid w:val="00D03B01"/>
    <w:rsid w:val="00D1166D"/>
    <w:rsid w:val="00D4031A"/>
    <w:rsid w:val="00D61510"/>
    <w:rsid w:val="00D810B1"/>
    <w:rsid w:val="00D8660B"/>
    <w:rsid w:val="00D86EF0"/>
    <w:rsid w:val="00D9583B"/>
    <w:rsid w:val="00D973BF"/>
    <w:rsid w:val="00DA3D09"/>
    <w:rsid w:val="00DB2358"/>
    <w:rsid w:val="00DC67B7"/>
    <w:rsid w:val="00DD4A68"/>
    <w:rsid w:val="00DD7F73"/>
    <w:rsid w:val="00DF0A4E"/>
    <w:rsid w:val="00E06FF4"/>
    <w:rsid w:val="00E10B32"/>
    <w:rsid w:val="00E4219B"/>
    <w:rsid w:val="00E550A8"/>
    <w:rsid w:val="00E71B5E"/>
    <w:rsid w:val="00E76CE8"/>
    <w:rsid w:val="00EB7A38"/>
    <w:rsid w:val="00EC2CE2"/>
    <w:rsid w:val="00EC34EC"/>
    <w:rsid w:val="00EC7E08"/>
    <w:rsid w:val="00ED0817"/>
    <w:rsid w:val="00ED0FE3"/>
    <w:rsid w:val="00EE4099"/>
    <w:rsid w:val="00EF1419"/>
    <w:rsid w:val="00F05631"/>
    <w:rsid w:val="00F20FD6"/>
    <w:rsid w:val="00F25946"/>
    <w:rsid w:val="00F43AA8"/>
    <w:rsid w:val="00F517BA"/>
    <w:rsid w:val="00F530A5"/>
    <w:rsid w:val="00F84B93"/>
    <w:rsid w:val="00F91F54"/>
    <w:rsid w:val="00F94E65"/>
    <w:rsid w:val="00F97BFF"/>
    <w:rsid w:val="00FA5697"/>
    <w:rsid w:val="00FB2868"/>
    <w:rsid w:val="0211F308"/>
    <w:rsid w:val="053F01EB"/>
    <w:rsid w:val="067FD013"/>
    <w:rsid w:val="083A731C"/>
    <w:rsid w:val="084CD1BE"/>
    <w:rsid w:val="0C8546A7"/>
    <w:rsid w:val="0F59C3EF"/>
    <w:rsid w:val="0FD2AA61"/>
    <w:rsid w:val="117A6DA0"/>
    <w:rsid w:val="138F7398"/>
    <w:rsid w:val="1522FF3E"/>
    <w:rsid w:val="15C25F54"/>
    <w:rsid w:val="15FE2CC6"/>
    <w:rsid w:val="16136EB8"/>
    <w:rsid w:val="18E003FD"/>
    <w:rsid w:val="1AD4C14A"/>
    <w:rsid w:val="1D39469D"/>
    <w:rsid w:val="212E8BF8"/>
    <w:rsid w:val="2368D8EB"/>
    <w:rsid w:val="23D1FED7"/>
    <w:rsid w:val="28C65588"/>
    <w:rsid w:val="2BE42374"/>
    <w:rsid w:val="2C58C60D"/>
    <w:rsid w:val="2CC36E5C"/>
    <w:rsid w:val="2EE748A8"/>
    <w:rsid w:val="2FF6DABF"/>
    <w:rsid w:val="2FFD97D1"/>
    <w:rsid w:val="31A71FDB"/>
    <w:rsid w:val="3565AC7B"/>
    <w:rsid w:val="376F3A33"/>
    <w:rsid w:val="37D80691"/>
    <w:rsid w:val="3B6681E9"/>
    <w:rsid w:val="434C0423"/>
    <w:rsid w:val="437919A1"/>
    <w:rsid w:val="52E55542"/>
    <w:rsid w:val="531FD8D7"/>
    <w:rsid w:val="54EEC78C"/>
    <w:rsid w:val="596D6004"/>
    <w:rsid w:val="62C4C65E"/>
    <w:rsid w:val="65729374"/>
    <w:rsid w:val="669DC00E"/>
    <w:rsid w:val="67CD4AA0"/>
    <w:rsid w:val="6B376E25"/>
    <w:rsid w:val="6E6BE2C8"/>
    <w:rsid w:val="702137DC"/>
    <w:rsid w:val="735E5F4F"/>
    <w:rsid w:val="76182B00"/>
    <w:rsid w:val="78195483"/>
    <w:rsid w:val="799A037E"/>
    <w:rsid w:val="7A19E2A0"/>
    <w:rsid w:val="7A558A4A"/>
    <w:rsid w:val="7E2FB376"/>
    <w:rsid w:val="7F775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A8FBC"/>
  <w15:chartTrackingRefBased/>
  <w15:docId w15:val="{16911315-974C-4C44-8C01-C7F17F207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868"/>
  </w:style>
  <w:style w:type="paragraph" w:styleId="Heading1">
    <w:name w:val="heading 1"/>
    <w:basedOn w:val="Normal"/>
    <w:next w:val="Normal"/>
    <w:link w:val="Heading1Char"/>
    <w:uiPriority w:val="9"/>
    <w:qFormat/>
    <w:rsid w:val="00FB28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28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28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28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28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28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28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28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28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8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28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8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8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8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8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8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8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868"/>
    <w:rPr>
      <w:rFonts w:eastAsiaTheme="majorEastAsia" w:cstheme="majorBidi"/>
      <w:color w:val="272727" w:themeColor="text1" w:themeTint="D8"/>
    </w:rPr>
  </w:style>
  <w:style w:type="paragraph" w:styleId="Title">
    <w:name w:val="Title"/>
    <w:basedOn w:val="Normal"/>
    <w:next w:val="Normal"/>
    <w:link w:val="TitleChar"/>
    <w:uiPriority w:val="10"/>
    <w:qFormat/>
    <w:rsid w:val="00FB28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28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86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28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86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2868"/>
    <w:rPr>
      <w:i/>
      <w:iCs/>
      <w:color w:val="404040" w:themeColor="text1" w:themeTint="BF"/>
    </w:rPr>
  </w:style>
  <w:style w:type="paragraph" w:styleId="ListParagraph">
    <w:name w:val="List Paragraph"/>
    <w:basedOn w:val="Normal"/>
    <w:uiPriority w:val="34"/>
    <w:qFormat/>
    <w:rsid w:val="00FB2868"/>
    <w:pPr>
      <w:ind w:left="720"/>
      <w:contextualSpacing/>
    </w:pPr>
  </w:style>
  <w:style w:type="character" w:styleId="IntenseEmphasis">
    <w:name w:val="Intense Emphasis"/>
    <w:basedOn w:val="DefaultParagraphFont"/>
    <w:uiPriority w:val="21"/>
    <w:qFormat/>
    <w:rsid w:val="00FB2868"/>
    <w:rPr>
      <w:i/>
      <w:iCs/>
      <w:color w:val="0F4761" w:themeColor="accent1" w:themeShade="BF"/>
    </w:rPr>
  </w:style>
  <w:style w:type="paragraph" w:styleId="IntenseQuote">
    <w:name w:val="Intense Quote"/>
    <w:basedOn w:val="Normal"/>
    <w:next w:val="Normal"/>
    <w:link w:val="IntenseQuoteChar"/>
    <w:uiPriority w:val="30"/>
    <w:qFormat/>
    <w:rsid w:val="00FB28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2868"/>
    <w:rPr>
      <w:i/>
      <w:iCs/>
      <w:color w:val="0F4761" w:themeColor="accent1" w:themeShade="BF"/>
    </w:rPr>
  </w:style>
  <w:style w:type="character" w:styleId="IntenseReference">
    <w:name w:val="Intense Reference"/>
    <w:basedOn w:val="DefaultParagraphFont"/>
    <w:uiPriority w:val="32"/>
    <w:qFormat/>
    <w:rsid w:val="00FB2868"/>
    <w:rPr>
      <w:b/>
      <w:bCs/>
      <w:smallCaps/>
      <w:color w:val="0F4761" w:themeColor="accent1" w:themeShade="BF"/>
      <w:spacing w:val="5"/>
    </w:rPr>
  </w:style>
  <w:style w:type="table" w:styleId="GridTable1Light">
    <w:name w:val="Grid Table 1 Light"/>
    <w:basedOn w:val="TableNormal"/>
    <w:uiPriority w:val="46"/>
    <w:rsid w:val="00FB28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FB2868"/>
    <w:rPr>
      <w:sz w:val="20"/>
      <w:szCs w:val="20"/>
    </w:rPr>
  </w:style>
  <w:style w:type="character" w:customStyle="1" w:styleId="FootnoteTextChar">
    <w:name w:val="Footnote Text Char"/>
    <w:basedOn w:val="DefaultParagraphFont"/>
    <w:link w:val="FootnoteText"/>
    <w:uiPriority w:val="99"/>
    <w:semiHidden/>
    <w:rsid w:val="00FB2868"/>
    <w:rPr>
      <w:sz w:val="20"/>
      <w:szCs w:val="20"/>
      <w:lang w:val="en-US"/>
    </w:rPr>
  </w:style>
  <w:style w:type="character" w:styleId="FootnoteReference">
    <w:name w:val="footnote reference"/>
    <w:basedOn w:val="DefaultParagraphFont"/>
    <w:uiPriority w:val="99"/>
    <w:semiHidden/>
    <w:unhideWhenUsed/>
    <w:rsid w:val="00FB2868"/>
    <w:rPr>
      <w:vertAlign w:val="superscript"/>
    </w:rPr>
  </w:style>
  <w:style w:type="character" w:styleId="Hyperlink">
    <w:name w:val="Hyperlink"/>
    <w:basedOn w:val="DefaultParagraphFont"/>
    <w:uiPriority w:val="99"/>
    <w:unhideWhenUsed/>
    <w:rsid w:val="00FB2868"/>
    <w:rPr>
      <w:color w:val="467886" w:themeColor="hyperlink"/>
      <w:u w:val="single"/>
    </w:rPr>
  </w:style>
  <w:style w:type="character" w:styleId="CommentReference">
    <w:name w:val="annotation reference"/>
    <w:basedOn w:val="DefaultParagraphFont"/>
    <w:uiPriority w:val="99"/>
    <w:semiHidden/>
    <w:unhideWhenUsed/>
    <w:rsid w:val="00FB2868"/>
    <w:rPr>
      <w:sz w:val="16"/>
      <w:szCs w:val="16"/>
    </w:rPr>
  </w:style>
  <w:style w:type="paragraph" w:styleId="CommentText">
    <w:name w:val="annotation text"/>
    <w:basedOn w:val="Normal"/>
    <w:link w:val="CommentTextChar"/>
    <w:uiPriority w:val="99"/>
    <w:unhideWhenUsed/>
    <w:rsid w:val="00FB2868"/>
    <w:rPr>
      <w:sz w:val="20"/>
      <w:szCs w:val="20"/>
    </w:rPr>
  </w:style>
  <w:style w:type="character" w:customStyle="1" w:styleId="CommentTextChar">
    <w:name w:val="Comment Text Char"/>
    <w:basedOn w:val="DefaultParagraphFont"/>
    <w:link w:val="CommentText"/>
    <w:uiPriority w:val="99"/>
    <w:rsid w:val="00FB2868"/>
    <w:rPr>
      <w:sz w:val="20"/>
      <w:szCs w:val="20"/>
      <w:lang w:val="en-US"/>
    </w:rPr>
  </w:style>
  <w:style w:type="paragraph" w:styleId="CommentSubject">
    <w:name w:val="annotation subject"/>
    <w:basedOn w:val="CommentText"/>
    <w:next w:val="CommentText"/>
    <w:link w:val="CommentSubjectChar"/>
    <w:uiPriority w:val="99"/>
    <w:semiHidden/>
    <w:unhideWhenUsed/>
    <w:rsid w:val="00303197"/>
    <w:rPr>
      <w:b/>
      <w:bCs/>
    </w:rPr>
  </w:style>
  <w:style w:type="character" w:customStyle="1" w:styleId="CommentSubjectChar">
    <w:name w:val="Comment Subject Char"/>
    <w:basedOn w:val="CommentTextChar"/>
    <w:link w:val="CommentSubject"/>
    <w:uiPriority w:val="99"/>
    <w:semiHidden/>
    <w:rsid w:val="00303197"/>
    <w:rPr>
      <w:b/>
      <w:bCs/>
      <w:sz w:val="20"/>
      <w:szCs w:val="20"/>
      <w:lang w:val="en-US"/>
    </w:rPr>
  </w:style>
  <w:style w:type="paragraph" w:styleId="Header">
    <w:name w:val="header"/>
    <w:basedOn w:val="Normal"/>
    <w:link w:val="HeaderChar"/>
    <w:uiPriority w:val="99"/>
    <w:semiHidden/>
    <w:unhideWhenUsed/>
    <w:rsid w:val="007111B4"/>
    <w:pPr>
      <w:tabs>
        <w:tab w:val="center" w:pos="4680"/>
        <w:tab w:val="right" w:pos="9360"/>
      </w:tabs>
    </w:pPr>
  </w:style>
  <w:style w:type="character" w:customStyle="1" w:styleId="HeaderChar">
    <w:name w:val="Header Char"/>
    <w:basedOn w:val="DefaultParagraphFont"/>
    <w:link w:val="Header"/>
    <w:uiPriority w:val="99"/>
    <w:semiHidden/>
    <w:rsid w:val="002707B4"/>
    <w:rPr>
      <w:lang w:val="en-US"/>
    </w:rPr>
  </w:style>
  <w:style w:type="paragraph" w:styleId="Footer">
    <w:name w:val="footer"/>
    <w:basedOn w:val="Normal"/>
    <w:link w:val="FooterChar"/>
    <w:uiPriority w:val="99"/>
    <w:semiHidden/>
    <w:unhideWhenUsed/>
    <w:rsid w:val="007111B4"/>
    <w:pPr>
      <w:tabs>
        <w:tab w:val="center" w:pos="4680"/>
        <w:tab w:val="right" w:pos="9360"/>
      </w:tabs>
    </w:pPr>
  </w:style>
  <w:style w:type="character" w:customStyle="1" w:styleId="FooterChar">
    <w:name w:val="Footer Char"/>
    <w:basedOn w:val="DefaultParagraphFont"/>
    <w:link w:val="Footer"/>
    <w:uiPriority w:val="99"/>
    <w:semiHidden/>
    <w:rsid w:val="002707B4"/>
    <w:rPr>
      <w:lang w:val="en-US"/>
    </w:rPr>
  </w:style>
  <w:style w:type="paragraph" w:styleId="NormalWeb">
    <w:name w:val="Normal (Web)"/>
    <w:basedOn w:val="Normal"/>
    <w:uiPriority w:val="99"/>
    <w:unhideWhenUsed/>
    <w:rsid w:val="00683F6B"/>
    <w:pPr>
      <w:spacing w:before="100" w:beforeAutospacing="1" w:after="100" w:afterAutospacing="1"/>
    </w:pPr>
    <w:rPr>
      <w:rFonts w:ascii="Times New Roman" w:eastAsia="Times New Roman" w:hAnsi="Times New Roman" w:cs="Times New Roman"/>
      <w:kern w:val="0"/>
      <w14:ligatures w14:val="none"/>
    </w:rPr>
  </w:style>
  <w:style w:type="character" w:styleId="UnresolvedMention">
    <w:name w:val="Unresolved Mention"/>
    <w:basedOn w:val="DefaultParagraphFont"/>
    <w:uiPriority w:val="99"/>
    <w:semiHidden/>
    <w:unhideWhenUsed/>
    <w:rsid w:val="00042F7E"/>
    <w:rPr>
      <w:color w:val="605E5C"/>
      <w:shd w:val="clear" w:color="auto" w:fill="E1DFDD"/>
    </w:rPr>
  </w:style>
  <w:style w:type="paragraph" w:styleId="Revision">
    <w:name w:val="Revision"/>
    <w:hidden/>
    <w:uiPriority w:val="99"/>
    <w:semiHidden/>
    <w:rsid w:val="00D029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konsultacije.gov.rs/topicOfDiscussionPage/457/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Zlata\Downloads\PrEUgovor%20Alarm:%20Report%20on%20Serbia&#8217;s%20Progress%20in%20Cluster%201%20&#8211;%20November%20202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Zlata\Downloads\,%20Report%20on%20the%20Results%20of%20the%20Public%20Debate%20in%20the%20Preparation%20of%20the%20Program%20for%20the%20Prevention%20and%20Suppression%20of%20Terrorism%20and%20All%20Forms%20of%20Radicalisation%20and%20Violent%20Extremism%20in%20the%20Republic%20of%20Serbia%20for%20the%20Period%202025&#8211;2030,%20with%20the%20Accompanying%20Action%20Plan%20for%20the%20Period%202025-2027" TargetMode="External"/><Relationship Id="rId5" Type="http://schemas.openxmlformats.org/officeDocument/2006/relationships/webSettings" Target="webSettings.xml"/><Relationship Id="rId10" Type="http://schemas.openxmlformats.org/officeDocument/2006/relationships/hyperlink" Target="file://C:\Users\Zlata\Downloads\,%20Report%20on%20the%20Results%20of%20the%20Public%20Debate%20in%20the%20Preparation%20of%20the%20Program%20for%20the%20Prevention%20and%20Suppression%20of%20Terrorism%20and%20All%20Forms%20of%20Radicalisation%20and%20Violent%20Extremism%20in%20the%20Republic%20of%20Serbia%20for%20the%20Period%202025&#8211;2030,%20with%20the%20Accompanying%20Action%20Plan%20for%20the%20Period%202025-2027" TargetMode="External"/><Relationship Id="rId4" Type="http://schemas.openxmlformats.org/officeDocument/2006/relationships/settings" Target="settings.xml"/><Relationship Id="rId9" Type="http://schemas.openxmlformats.org/officeDocument/2006/relationships/hyperlink" Target="https://www.mup.gov.rs/wps/portal/sr/dokumenti/Strategij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315A9-53C6-694E-9393-7B57CD3A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2715</Words>
  <Characters>16593</Characters>
  <Application>Microsoft Office Word</Application>
  <DocSecurity>0</DocSecurity>
  <Lines>338</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14</cp:revision>
  <dcterms:created xsi:type="dcterms:W3CDTF">2026-03-19T14:25:00Z</dcterms:created>
  <dcterms:modified xsi:type="dcterms:W3CDTF">2026-04-24T18:55:00Z</dcterms:modified>
</cp:coreProperties>
</file>